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E6017" w14:textId="77777777" w:rsidR="00D82EE5" w:rsidRDefault="00D82EE5">
      <w:pPr>
        <w:jc w:val="center"/>
        <w:rPr>
          <w:rFonts w:ascii="Times New Roman" w:eastAsia="MS Mincho;ＭＳ 明朝" w:hAnsi="Times New Roman" w:cs="Times New Roman"/>
          <w:b/>
          <w:caps/>
          <w:lang w:val="en-US"/>
        </w:rPr>
      </w:pPr>
    </w:p>
    <w:p w14:paraId="69F926D3" w14:textId="4DD02E42" w:rsidR="001962C7" w:rsidRPr="001962C7" w:rsidRDefault="001962C7">
      <w:pPr>
        <w:spacing w:line="276" w:lineRule="auto"/>
        <w:jc w:val="center"/>
        <w:rPr>
          <w:rFonts w:ascii="Times New Roman" w:hAnsi="Times New Roman" w:cs="Times New Roman"/>
          <w:b/>
          <w:bCs/>
          <w:lang w:val="en-US"/>
        </w:rPr>
      </w:pPr>
      <w:r>
        <w:rPr>
          <w:rFonts w:ascii="Times New Roman" w:hAnsi="Times New Roman" w:cs="Times New Roman"/>
          <w:b/>
          <w:bCs/>
          <w:lang w:val="en-US"/>
        </w:rPr>
        <w:t xml:space="preserve">For the procurement of services for assigning the Bank’s international public credit rating and carrying out its monitoring</w:t>
      </w:r>
    </w:p>
    <w:p w14:paraId="772235F0" w14:textId="5DF06254" w:rsidR="00D82EE5" w:rsidRPr="001962C7" w:rsidRDefault="000D084E">
      <w:pPr>
        <w:spacing w:line="276" w:lineRule="auto"/>
        <w:jc w:val="center"/>
      </w:pPr>
      <w:r>
        <w:rPr>
          <w:rFonts w:ascii="Times New Roman" w:hAnsi="Times New Roman" w:cs="Times New Roman"/>
          <w:b/>
          <w:lang w:val="en-US"/>
        </w:rPr>
        <w:t xml:space="preserve">TERMS OF REFERENCE</w:t>
      </w:r>
    </w:p>
    <w:p w14:paraId="767C26C7" w14:textId="77777777" w:rsidR="00D82EE5" w:rsidRPr="001962C7" w:rsidRDefault="00D82EE5">
      <w:pPr>
        <w:pStyle w:val="50"/>
        <w:shd w:val="clear" w:color="auto" w:fill="auto"/>
        <w:spacing w:before="0"/>
        <w:rPr>
          <w:b/>
          <w:bCs/>
          <w:sz w:val="24"/>
          <w:szCs w:val="24"/>
          <w:lang w:val="en-US"/>
        </w:rPr>
      </w:pPr>
    </w:p>
    <w:tbl>
      <w:tblPr>
        <w:tblpPr w:leftFromText="180" w:rightFromText="180" w:vertAnchor="text" w:horzAnchor="margin" w:tblpXSpec="center" w:tblpY="212"/>
        <w:tblW w:w="5000" w:type="pct"/>
        <w:tblLayout w:type="fixed"/>
        <w:tblLook w:val="04A0" w:firstRow="1" w:lastRow="0" w:firstColumn="1" w:lastColumn="0" w:noHBand="0" w:noVBand="1"/>
      </w:tblPr>
      <w:tblGrid>
        <w:gridCol w:w="515"/>
        <w:gridCol w:w="2446"/>
        <w:gridCol w:w="6383"/>
      </w:tblGrid>
      <w:tr w:rsidR="00D82EE5" w:rsidRPr="001962C7" w14:paraId="4D8F4A84" w14:textId="77777777" w:rsidTr="001962C7">
        <w:trPr>
          <w:trHeight w:val="414"/>
        </w:trPr>
        <w:tc>
          <w:tcPr>
            <w:tcW w:w="522" w:type="dxa"/>
            <w:tcBorders>
              <w:top w:val="single" w:sz="4" w:space="0" w:color="000000"/>
              <w:left w:val="single" w:sz="4" w:space="0" w:color="000000"/>
              <w:bottom w:val="single" w:sz="4" w:space="0" w:color="000000"/>
              <w:right w:val="single" w:sz="4" w:space="0" w:color="000000"/>
            </w:tcBorders>
            <w:vAlign w:val="center"/>
          </w:tcPr>
          <w:p w14:paraId="13E8A465" w14:textId="77777777" w:rsidR="00D82EE5" w:rsidRPr="001962C7" w:rsidRDefault="000D084E">
            <w:pPr>
              <w:pStyle w:val="50"/>
              <w:shd w:val="clear" w:color="auto" w:fill="auto"/>
              <w:spacing w:before="0"/>
              <w:jc w:val="center"/>
              <w:rPr>
                <w:b/>
                <w:bCs/>
                <w:sz w:val="24"/>
                <w:szCs w:val="24"/>
                <w:lang w:val="en-US"/>
              </w:rPr>
            </w:pPr>
            <w:r>
              <w:rPr>
                <w:rStyle w:val="295pt0"/>
                <w:sz w:val="24"/>
                <w:szCs w:val="24"/>
                <w:lang w:val="en-US"/>
              </w:rPr>
              <w:t xml:space="preserve">#</w:t>
            </w:r>
          </w:p>
        </w:tc>
        <w:tc>
          <w:tcPr>
            <w:tcW w:w="2504" w:type="dxa"/>
            <w:tcBorders>
              <w:top w:val="single" w:sz="4" w:space="0" w:color="000000"/>
              <w:left w:val="single" w:sz="4" w:space="0" w:color="000000"/>
              <w:bottom w:val="single" w:sz="4" w:space="0" w:color="000000"/>
              <w:right w:val="single" w:sz="4" w:space="0" w:color="000000"/>
            </w:tcBorders>
            <w:vAlign w:val="center"/>
          </w:tcPr>
          <w:p w14:paraId="5EF77328" w14:textId="77777777" w:rsidR="00D82EE5" w:rsidRPr="001962C7" w:rsidRDefault="000D084E">
            <w:pPr>
              <w:pStyle w:val="50"/>
              <w:shd w:val="clear" w:color="auto" w:fill="auto"/>
              <w:spacing w:before="0" w:line="240" w:lineRule="auto"/>
              <w:rPr>
                <w:b/>
                <w:bCs/>
                <w:sz w:val="24"/>
                <w:szCs w:val="24"/>
                <w:lang w:val="en-US"/>
              </w:rPr>
            </w:pPr>
            <w:r>
              <w:rPr>
                <w:rStyle w:val="295pt0"/>
                <w:sz w:val="24"/>
                <w:szCs w:val="24"/>
                <w:lang w:val="en-US"/>
              </w:rPr>
              <w:t xml:space="preserve">List of requirements</w:t>
            </w:r>
          </w:p>
        </w:tc>
        <w:tc>
          <w:tcPr>
            <w:tcW w:w="6544" w:type="dxa"/>
            <w:tcBorders>
              <w:top w:val="single" w:sz="4" w:space="0" w:color="000000"/>
              <w:left w:val="single" w:sz="4" w:space="0" w:color="000000"/>
              <w:bottom w:val="single" w:sz="4" w:space="0" w:color="000000"/>
              <w:right w:val="single" w:sz="4" w:space="0" w:color="000000"/>
            </w:tcBorders>
            <w:vAlign w:val="center"/>
          </w:tcPr>
          <w:p w14:paraId="5609B5C6" w14:textId="77777777" w:rsidR="00D82EE5" w:rsidRPr="001962C7" w:rsidRDefault="000D084E">
            <w:pPr>
              <w:pStyle w:val="20"/>
              <w:shd w:val="clear" w:color="auto" w:fill="auto"/>
              <w:spacing w:after="0" w:line="210" w:lineRule="exact"/>
              <w:jc w:val="center"/>
              <w:rPr>
                <w:b/>
                <w:bCs/>
                <w:sz w:val="24"/>
                <w:szCs w:val="24"/>
                <w:lang w:val="en-US"/>
              </w:rPr>
            </w:pPr>
            <w:r>
              <w:rPr>
                <w:rStyle w:val="295pt0"/>
                <w:sz w:val="24"/>
                <w:szCs w:val="24"/>
                <w:lang w:val="en-US"/>
              </w:rPr>
              <w:t xml:space="preserve">Content of requirements</w:t>
            </w:r>
          </w:p>
        </w:tc>
      </w:tr>
      <w:tr w:rsidR="00D82EE5" w:rsidRPr="001962C7" w14:paraId="165068FC" w14:textId="77777777" w:rsidTr="001962C7">
        <w:trPr>
          <w:trHeight w:val="422"/>
        </w:trPr>
        <w:tc>
          <w:tcPr>
            <w:tcW w:w="522" w:type="dxa"/>
            <w:tcBorders>
              <w:top w:val="single" w:sz="4" w:space="0" w:color="000000"/>
              <w:left w:val="single" w:sz="4" w:space="0" w:color="000000"/>
              <w:bottom w:val="single" w:sz="4" w:space="0" w:color="000000"/>
              <w:right w:val="single" w:sz="4" w:space="0" w:color="000000"/>
            </w:tcBorders>
            <w:vAlign w:val="center"/>
          </w:tcPr>
          <w:p w14:paraId="0D2A7EC6" w14:textId="77777777" w:rsidR="00D82EE5" w:rsidRPr="001962C7" w:rsidRDefault="000D084E">
            <w:pPr>
              <w:pStyle w:val="50"/>
              <w:shd w:val="clear" w:color="auto" w:fill="auto"/>
              <w:spacing w:before="0"/>
              <w:jc w:val="center"/>
            </w:pPr>
            <w:r>
              <w:rPr>
                <w:rStyle w:val="295pt"/>
                <w:sz w:val="24"/>
                <w:szCs w:val="24"/>
                <w:lang w:val="en-US"/>
              </w:rPr>
              <w:t>1</w:t>
            </w:r>
          </w:p>
        </w:tc>
        <w:tc>
          <w:tcPr>
            <w:tcW w:w="2504" w:type="dxa"/>
            <w:tcBorders>
              <w:top w:val="single" w:sz="4" w:space="0" w:color="000000"/>
              <w:left w:val="single" w:sz="4" w:space="0" w:color="000000"/>
              <w:bottom w:val="single" w:sz="4" w:space="0" w:color="000000"/>
              <w:right w:val="single" w:sz="4" w:space="0" w:color="000000"/>
            </w:tcBorders>
            <w:vAlign w:val="center"/>
          </w:tcPr>
          <w:p w14:paraId="324E3D15" w14:textId="21F65EB2" w:rsidR="00D82EE5" w:rsidRPr="001962C7" w:rsidRDefault="000D084E">
            <w:pPr>
              <w:pStyle w:val="50"/>
              <w:shd w:val="clear" w:color="auto" w:fill="auto"/>
              <w:spacing w:before="0" w:line="240" w:lineRule="auto"/>
              <w:rPr>
                <w:b/>
                <w:bCs/>
                <w:sz w:val="24"/>
                <w:szCs w:val="24"/>
                <w:lang w:val="en-US"/>
              </w:rPr>
            </w:pPr>
            <w:r>
              <w:rPr>
                <w:rStyle w:val="295pt"/>
                <w:sz w:val="24"/>
                <w:szCs w:val="24"/>
                <w:lang w:val="en-US"/>
              </w:rPr>
              <w:t xml:space="preserve">Customer</w:t>
            </w:r>
          </w:p>
        </w:tc>
        <w:tc>
          <w:tcPr>
            <w:tcW w:w="6544" w:type="dxa"/>
            <w:tcBorders>
              <w:top w:val="single" w:sz="4" w:space="0" w:color="000000"/>
              <w:left w:val="single" w:sz="4" w:space="0" w:color="000000"/>
              <w:bottom w:val="single" w:sz="4" w:space="0" w:color="000000"/>
              <w:right w:val="single" w:sz="4" w:space="0" w:color="000000"/>
            </w:tcBorders>
            <w:vAlign w:val="center"/>
          </w:tcPr>
          <w:p w14:paraId="7E8A2F95" w14:textId="77777777" w:rsidR="00D82EE5" w:rsidRPr="001962C7" w:rsidRDefault="000D084E">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“Business Development Bank” JSCB</w:t>
            </w:r>
          </w:p>
        </w:tc>
      </w:tr>
      <w:tr w:rsidR="001962C7" w:rsidRPr="001962C7" w14:paraId="602C639D" w14:textId="77777777" w:rsidTr="001962C7">
        <w:trPr>
          <w:trHeight w:val="422"/>
        </w:trPr>
        <w:tc>
          <w:tcPr>
            <w:tcW w:w="522" w:type="dxa"/>
            <w:tcBorders>
              <w:top w:val="single" w:sz="4" w:space="0" w:color="000000"/>
              <w:left w:val="single" w:sz="4" w:space="0" w:color="000000"/>
              <w:bottom w:val="single" w:sz="4" w:space="0" w:color="000000"/>
              <w:right w:val="single" w:sz="4" w:space="0" w:color="000000"/>
            </w:tcBorders>
            <w:vAlign w:val="center"/>
          </w:tcPr>
          <w:p w14:paraId="573E2D24" w14:textId="039B9248" w:rsidR="001962C7" w:rsidRPr="001962C7" w:rsidRDefault="001962C7">
            <w:pPr>
              <w:pStyle w:val="50"/>
              <w:shd w:val="clear" w:color="auto" w:fill="auto"/>
              <w:spacing w:before="0"/>
              <w:jc w:val="center"/>
              <w:rPr>
                <w:rStyle w:val="295pt"/>
                <w:sz w:val="24"/>
                <w:szCs w:val="24"/>
                <w:lang w:val="en-US"/>
              </w:rPr>
            </w:pPr>
            <w:r>
              <w:rPr>
                <w:rStyle w:val="295pt"/>
                <w:sz w:val="24"/>
                <w:szCs w:val="24"/>
                <w:lang w:val="en-US"/>
              </w:rPr>
              <w:t>2</w:t>
            </w:r>
          </w:p>
        </w:tc>
        <w:tc>
          <w:tcPr>
            <w:tcW w:w="2504" w:type="dxa"/>
            <w:tcBorders>
              <w:top w:val="single" w:sz="4" w:space="0" w:color="000000"/>
              <w:left w:val="single" w:sz="4" w:space="0" w:color="000000"/>
              <w:bottom w:val="single" w:sz="4" w:space="0" w:color="000000"/>
              <w:right w:val="single" w:sz="4" w:space="0" w:color="000000"/>
            </w:tcBorders>
            <w:vAlign w:val="center"/>
          </w:tcPr>
          <w:p w14:paraId="0756AAF4" w14:textId="0056CD38" w:rsidR="001962C7" w:rsidRPr="001962C7" w:rsidRDefault="001962C7">
            <w:pPr>
              <w:pStyle w:val="50"/>
              <w:shd w:val="clear" w:color="auto" w:fill="auto"/>
              <w:spacing w:before="0" w:line="240" w:lineRule="auto"/>
              <w:rPr>
                <w:rStyle w:val="295pt"/>
                <w:sz w:val="24"/>
                <w:szCs w:val="24"/>
                <w:lang w:val="en-US"/>
              </w:rPr>
            </w:pPr>
            <w:r>
              <w:rPr>
                <w:rStyle w:val="295pt"/>
                <w:sz w:val="24"/>
                <w:szCs w:val="24"/>
                <w:lang w:val="en-US"/>
              </w:rPr>
              <w:t xml:space="preserve">Name of the work to be performed or service to be provided</w:t>
            </w:r>
          </w:p>
        </w:tc>
        <w:tc>
          <w:tcPr>
            <w:tcW w:w="6544" w:type="dxa"/>
            <w:tcBorders>
              <w:top w:val="single" w:sz="4" w:space="0" w:color="000000"/>
              <w:left w:val="single" w:sz="4" w:space="0" w:color="000000"/>
              <w:bottom w:val="single" w:sz="4" w:space="0" w:color="000000"/>
              <w:right w:val="single" w:sz="4" w:space="0" w:color="000000"/>
            </w:tcBorders>
            <w:vAlign w:val="center"/>
          </w:tcPr>
          <w:p w14:paraId="22E90332" w14:textId="1B1E8FAA" w:rsidR="001962C7" w:rsidRPr="001962C7" w:rsidRDefault="001962C7">
            <w:pPr>
              <w:pStyle w:val="50"/>
              <w:shd w:val="clear" w:color="auto" w:fill="auto"/>
              <w:spacing w:before="0" w:line="240" w:lineRule="auto"/>
              <w:jc w:val="both"/>
              <w:rPr>
                <w:rStyle w:val="295pt"/>
                <w:sz w:val="24"/>
                <w:szCs w:val="24"/>
                <w:lang w:val="en-US"/>
              </w:rPr>
            </w:pPr>
            <w:r>
              <w:rPr>
                <w:rStyle w:val="295pt"/>
                <w:sz w:val="24"/>
                <w:szCs w:val="24"/>
                <w:lang w:val="en-US"/>
              </w:rPr>
              <w:t xml:space="preserve">Procurement of services for assigning the Bank’s international public credit rating and carrying out its monitoring</w:t>
            </w:r>
          </w:p>
        </w:tc>
      </w:tr>
      <w:tr w:rsidR="001962C7" w:rsidRPr="001962C7" w14:paraId="7C396725" w14:textId="77777777" w:rsidTr="001962C7">
        <w:trPr>
          <w:trHeight w:val="422"/>
        </w:trPr>
        <w:tc>
          <w:tcPr>
            <w:tcW w:w="522" w:type="dxa"/>
            <w:tcBorders>
              <w:top w:val="single" w:sz="4" w:space="0" w:color="000000"/>
              <w:left w:val="single" w:sz="4" w:space="0" w:color="000000"/>
              <w:bottom w:val="single" w:sz="4" w:space="0" w:color="000000"/>
              <w:right w:val="single" w:sz="4" w:space="0" w:color="000000"/>
            </w:tcBorders>
            <w:vAlign w:val="center"/>
          </w:tcPr>
          <w:p w14:paraId="119F3348" w14:textId="4136FBE4" w:rsidR="001962C7" w:rsidRPr="001962C7" w:rsidRDefault="001962C7" w:rsidP="001962C7">
            <w:pPr>
              <w:pStyle w:val="50"/>
              <w:shd w:val="clear" w:color="auto" w:fill="auto"/>
              <w:spacing w:before="0"/>
              <w:jc w:val="center"/>
              <w:rPr>
                <w:rStyle w:val="295pt"/>
                <w:sz w:val="24"/>
                <w:szCs w:val="24"/>
                <w:lang w:val="en-US"/>
              </w:rPr>
            </w:pPr>
            <w:r>
              <w:rPr>
                <w:rStyle w:val="295pt"/>
                <w:sz w:val="24"/>
                <w:szCs w:val="24"/>
                <w:lang w:val="en-US"/>
              </w:rPr>
              <w:t>3</w:t>
            </w:r>
          </w:p>
        </w:tc>
        <w:tc>
          <w:tcPr>
            <w:tcW w:w="2504" w:type="dxa"/>
            <w:tcBorders>
              <w:top w:val="single" w:sz="4" w:space="0" w:color="000000"/>
              <w:left w:val="single" w:sz="4" w:space="0" w:color="000000"/>
              <w:bottom w:val="single" w:sz="4" w:space="0" w:color="000000"/>
              <w:right w:val="single" w:sz="4" w:space="0" w:color="000000"/>
            </w:tcBorders>
            <w:vAlign w:val="center"/>
          </w:tcPr>
          <w:p w14:paraId="237F0801" w14:textId="4ACE9053" w:rsidR="001962C7" w:rsidRPr="001962C7" w:rsidRDefault="001962C7" w:rsidP="001962C7">
            <w:pPr>
              <w:pStyle w:val="50"/>
              <w:shd w:val="clear" w:color="auto" w:fill="auto"/>
              <w:spacing w:before="0" w:line="240" w:lineRule="auto"/>
              <w:rPr>
                <w:rStyle w:val="295pt"/>
                <w:sz w:val="24"/>
                <w:szCs w:val="24"/>
                <w:lang w:val="en-US"/>
              </w:rPr>
            </w:pPr>
            <w:r>
              <w:rPr>
                <w:rStyle w:val="295pt"/>
                <w:sz w:val="24"/>
                <w:szCs w:val="24"/>
                <w:lang w:val="en-US"/>
              </w:rPr>
              <w:t xml:space="preserve">Basis for conducting the tender</w:t>
            </w:r>
          </w:p>
        </w:tc>
        <w:tc>
          <w:tcPr>
            <w:tcW w:w="6544" w:type="dxa"/>
            <w:tcBorders>
              <w:top w:val="single" w:sz="4" w:space="0" w:color="000000"/>
              <w:left w:val="single" w:sz="4" w:space="0" w:color="000000"/>
              <w:bottom w:val="single" w:sz="4" w:space="0" w:color="000000"/>
              <w:right w:val="single" w:sz="4" w:space="0" w:color="000000"/>
            </w:tcBorders>
            <w:vAlign w:val="center"/>
          </w:tcPr>
          <w:p w14:paraId="71838E4D" w14:textId="77777777" w:rsidR="001962C7" w:rsidRPr="001962C7" w:rsidRDefault="001962C7" w:rsidP="001962C7">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 Law of the Republic of Uzbekistan No. 684 of 22 April 2021 “On Public Procurement”;</w:t>
            </w:r>
          </w:p>
          <w:p w14:paraId="5EF70B1E" w14:textId="77777777" w:rsidR="001962C7" w:rsidRPr="001962C7" w:rsidRDefault="001962C7" w:rsidP="001962C7">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 Resolution No. 276 of the Cabinet of Ministers of the Republic of Uzbekistan of 20 May 2022 “On Approval of the Regulation on the Procedure for Organizing and Conducting Procedures Related to Public Procurement”;</w:t>
            </w:r>
          </w:p>
          <w:p w14:paraId="46727483" w14:textId="77777777" w:rsidR="001962C7" w:rsidRPr="001962C7" w:rsidRDefault="001962C7" w:rsidP="001962C7">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 Decree No. PF-259 of the President of the Republic of Uzbekistan of 26 December 2025 “On Further Measures to Ensure a Competitive Environment and Transparency in the Public Procurement System”;</w:t>
            </w:r>
          </w:p>
          <w:p w14:paraId="2FEC8DAC" w14:textId="77777777" w:rsidR="001962C7" w:rsidRPr="001962C7" w:rsidRDefault="001962C7" w:rsidP="001962C7">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 Procedure for Conducting Procurement in the System of “Business Development Bank” JSCB, approved by Resolution No. 155/4 of the Bank’s Management Board of 11 December 2025;</w:t>
            </w:r>
          </w:p>
          <w:p w14:paraId="5B62E6B4" w14:textId="165F4D22" w:rsidR="001962C7" w:rsidRPr="001962C7" w:rsidRDefault="001962C7" w:rsidP="001962C7">
            <w:pPr>
              <w:pStyle w:val="50"/>
              <w:shd w:val="clear" w:color="auto" w:fill="auto"/>
              <w:spacing w:before="0" w:line="240" w:lineRule="auto"/>
              <w:jc w:val="both"/>
              <w:rPr>
                <w:rStyle w:val="295pt"/>
                <w:sz w:val="24"/>
                <w:szCs w:val="24"/>
                <w:lang w:val="en-US"/>
              </w:rPr>
            </w:pPr>
            <w:r>
              <w:rPr>
                <w:rStyle w:val="295pt"/>
                <w:sz w:val="24"/>
                <w:szCs w:val="24"/>
                <w:lang w:val="en-US"/>
              </w:rPr>
              <w:t xml:space="preserve">- Notification No. IF-543 of the Director of the Department for Work with Financial Institutions and Investors of 15 October 2026.</w:t>
            </w:r>
          </w:p>
        </w:tc>
      </w:tr>
      <w:tr w:rsidR="001962C7" w:rsidRPr="001962C7" w14:paraId="6E904E77" w14:textId="77777777" w:rsidTr="001962C7">
        <w:trPr>
          <w:trHeight w:val="422"/>
        </w:trPr>
        <w:tc>
          <w:tcPr>
            <w:tcW w:w="522" w:type="dxa"/>
            <w:tcBorders>
              <w:top w:val="single" w:sz="4" w:space="0" w:color="000000"/>
              <w:left w:val="single" w:sz="4" w:space="0" w:color="000000"/>
              <w:bottom w:val="single" w:sz="4" w:space="0" w:color="000000"/>
              <w:right w:val="single" w:sz="4" w:space="0" w:color="000000"/>
            </w:tcBorders>
            <w:vAlign w:val="center"/>
          </w:tcPr>
          <w:p w14:paraId="3F6B2E60" w14:textId="311F2D28" w:rsidR="001962C7" w:rsidRPr="001962C7" w:rsidRDefault="001962C7" w:rsidP="001962C7">
            <w:pPr>
              <w:pStyle w:val="50"/>
              <w:shd w:val="clear" w:color="auto" w:fill="auto"/>
              <w:spacing w:before="0"/>
              <w:jc w:val="center"/>
              <w:rPr>
                <w:rStyle w:val="295pt"/>
                <w:sz w:val="24"/>
                <w:szCs w:val="24"/>
                <w:lang w:val="en-US"/>
              </w:rPr>
            </w:pPr>
            <w:r>
              <w:rPr>
                <w:rStyle w:val="295pt"/>
                <w:sz w:val="24"/>
                <w:szCs w:val="24"/>
                <w:lang w:val="en-US"/>
              </w:rPr>
              <w:t>4</w:t>
            </w:r>
          </w:p>
        </w:tc>
        <w:tc>
          <w:tcPr>
            <w:tcW w:w="2504" w:type="dxa"/>
            <w:tcBorders>
              <w:top w:val="single" w:sz="4" w:space="0" w:color="000000"/>
              <w:left w:val="single" w:sz="4" w:space="0" w:color="000000"/>
              <w:bottom w:val="single" w:sz="4" w:space="0" w:color="000000"/>
              <w:right w:val="single" w:sz="4" w:space="0" w:color="000000"/>
            </w:tcBorders>
            <w:vAlign w:val="center"/>
          </w:tcPr>
          <w:p w14:paraId="0DDEFD0F" w14:textId="2F34365F" w:rsidR="001962C7" w:rsidRPr="001962C7" w:rsidRDefault="001962C7" w:rsidP="001962C7">
            <w:pPr>
              <w:pStyle w:val="50"/>
              <w:shd w:val="clear" w:color="auto" w:fill="auto"/>
              <w:spacing w:before="0" w:line="240" w:lineRule="auto"/>
              <w:rPr>
                <w:rStyle w:val="295pt"/>
                <w:sz w:val="24"/>
                <w:szCs w:val="24"/>
                <w:lang w:val="en-US"/>
              </w:rPr>
            </w:pPr>
            <w:r>
              <w:rPr>
                <w:color w:val="212529"/>
                <w:sz w:val="24"/>
                <w:szCs w:val="24"/>
                <w:lang w:val="en-US"/>
              </w:rPr>
              <w:t xml:space="preserve">Customer’s address</w:t>
            </w:r>
          </w:p>
        </w:tc>
        <w:tc>
          <w:tcPr>
            <w:tcW w:w="6544" w:type="dxa"/>
            <w:tcBorders>
              <w:top w:val="single" w:sz="4" w:space="0" w:color="000000"/>
              <w:left w:val="single" w:sz="4" w:space="0" w:color="000000"/>
              <w:bottom w:val="single" w:sz="4" w:space="0" w:color="000000"/>
              <w:right w:val="single" w:sz="4" w:space="0" w:color="000000"/>
            </w:tcBorders>
            <w:vAlign w:val="center"/>
          </w:tcPr>
          <w:p w14:paraId="3E9ED64E" w14:textId="0116A1EC" w:rsidR="001962C7" w:rsidRPr="001962C7" w:rsidRDefault="001962C7" w:rsidP="001962C7">
            <w:pPr>
              <w:pStyle w:val="50"/>
              <w:shd w:val="clear" w:color="auto" w:fill="auto"/>
              <w:spacing w:before="0" w:line="240" w:lineRule="auto"/>
              <w:jc w:val="both"/>
              <w:rPr>
                <w:rStyle w:val="295pt"/>
                <w:sz w:val="24"/>
                <w:szCs w:val="24"/>
                <w:lang w:val="en-US"/>
              </w:rPr>
            </w:pPr>
            <w:r>
              <w:rPr>
                <w:sz w:val="24"/>
                <w:szCs w:val="24"/>
                <w:lang w:val="en-US"/>
              </w:rPr>
              <w:t xml:space="preserve">100011, Tashkent, A. Navoiy Street, 18-A</w:t>
            </w:r>
          </w:p>
        </w:tc>
      </w:tr>
      <w:tr w:rsidR="001962C7" w:rsidRPr="001962C7" w14:paraId="35257BAB" w14:textId="77777777" w:rsidTr="001962C7">
        <w:trPr>
          <w:trHeight w:val="422"/>
        </w:trPr>
        <w:tc>
          <w:tcPr>
            <w:tcW w:w="522" w:type="dxa"/>
            <w:tcBorders>
              <w:top w:val="single" w:sz="4" w:space="0" w:color="000000"/>
              <w:left w:val="single" w:sz="4" w:space="0" w:color="000000"/>
              <w:bottom w:val="single" w:sz="4" w:space="0" w:color="000000"/>
              <w:right w:val="single" w:sz="4" w:space="0" w:color="000000"/>
            </w:tcBorders>
            <w:vAlign w:val="center"/>
          </w:tcPr>
          <w:p w14:paraId="25D836C8" w14:textId="5C247F81" w:rsidR="001962C7" w:rsidRPr="001962C7" w:rsidRDefault="001962C7" w:rsidP="001962C7">
            <w:pPr>
              <w:pStyle w:val="50"/>
              <w:shd w:val="clear" w:color="auto" w:fill="auto"/>
              <w:spacing w:before="0"/>
              <w:jc w:val="center"/>
            </w:pPr>
            <w:r>
              <w:rPr>
                <w:rStyle w:val="295pt"/>
                <w:sz w:val="24"/>
                <w:szCs w:val="24"/>
                <w:lang w:val="en-US"/>
              </w:rPr>
              <w:t>5</w:t>
            </w:r>
          </w:p>
        </w:tc>
        <w:tc>
          <w:tcPr>
            <w:tcW w:w="2504" w:type="dxa"/>
            <w:tcBorders>
              <w:top w:val="single" w:sz="4" w:space="0" w:color="000000"/>
              <w:left w:val="single" w:sz="4" w:space="0" w:color="000000"/>
              <w:bottom w:val="single" w:sz="4" w:space="0" w:color="000000"/>
              <w:right w:val="single" w:sz="4" w:space="0" w:color="000000"/>
            </w:tcBorders>
            <w:vAlign w:val="center"/>
          </w:tcPr>
          <w:p w14:paraId="71D6999D" w14:textId="77777777" w:rsidR="001962C7" w:rsidRPr="001962C7" w:rsidRDefault="001962C7" w:rsidP="001962C7">
            <w:pPr>
              <w:rPr>
                <w:rStyle w:val="ezkurwreuab5ozgtqnkl"/>
                <w:rFonts w:ascii="Times New Roman" w:hAnsi="Times New Roman"/>
                <w:lang w:val="en-US"/>
              </w:rPr>
            </w:pPr>
            <w:r>
              <w:rPr>
                <w:rStyle w:val="ezkurwreuab5ozgtqnkl"/>
                <w:rFonts w:ascii="Times New Roman" w:hAnsi="Times New Roman"/>
                <w:lang w:val="en-US"/>
              </w:rPr>
              <w:t xml:space="preserve">Detailed </w:t>
            </w:r>
          </w:p>
          <w:p w14:paraId="72BA6913" w14:textId="50D0029C" w:rsidR="001962C7" w:rsidRPr="001962C7" w:rsidRDefault="001962C7" w:rsidP="001962C7">
            <w:pPr>
              <w:pStyle w:val="50"/>
              <w:shd w:val="clear" w:color="auto" w:fill="auto"/>
              <w:spacing w:before="0" w:line="240" w:lineRule="auto"/>
              <w:rPr>
                <w:b/>
                <w:bCs/>
                <w:sz w:val="24"/>
                <w:szCs w:val="24"/>
                <w:lang w:val="en-US"/>
              </w:rPr>
            </w:pPr>
            <w:r>
              <w:rPr>
                <w:rStyle w:val="ezkurwreuab5ozgtqnkl"/>
                <w:sz w:val="24"/>
                <w:szCs w:val="24"/>
                <w:lang w:val="en-US"/>
              </w:rPr>
              <w:t xml:space="preserve">description of services</w:t>
            </w:r>
          </w:p>
        </w:tc>
        <w:tc>
          <w:tcPr>
            <w:tcW w:w="6544" w:type="dxa"/>
            <w:tcBorders>
              <w:top w:val="single" w:sz="4" w:space="0" w:color="000000"/>
              <w:left w:val="single" w:sz="4" w:space="0" w:color="000000"/>
              <w:bottom w:val="single" w:sz="4" w:space="0" w:color="000000"/>
              <w:right w:val="single" w:sz="4" w:space="0" w:color="000000"/>
            </w:tcBorders>
            <w:vAlign w:val="center"/>
          </w:tcPr>
          <w:p w14:paraId="745DF69C" w14:textId="663694B1" w:rsidR="001962C7" w:rsidRPr="001962C7" w:rsidRDefault="001962C7" w:rsidP="001962C7">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Provision by an international credit rating agency (hereinafter – the Agency) to “Business Development Bank” JSCB (hereinafter – the Bank) of services for assigning a public credit rating on the international scale and monitoring it throughout the term of the contract. In particular:</w:t>
            </w:r>
          </w:p>
          <w:p w14:paraId="53CAB07D" w14:textId="77777777" w:rsidR="001962C7" w:rsidRPr="001962C7" w:rsidRDefault="001962C7" w:rsidP="001962C7">
            <w:pPr>
              <w:pStyle w:val="50"/>
              <w:shd w:val="clear" w:color="auto" w:fill="auto"/>
              <w:spacing w:before="0" w:line="240" w:lineRule="auto"/>
              <w:jc w:val="both"/>
              <w:rPr>
                <w:color w:val="000000"/>
                <w:sz w:val="24"/>
                <w:szCs w:val="24"/>
                <w:lang w:val="en-US" w:eastAsia="en-US" w:bidi="en-US"/>
              </w:rPr>
            </w:pPr>
            <w:r>
              <w:rPr>
                <w:rStyle w:val="295pt"/>
                <w:b/>
                <w:bCs/>
                <w:sz w:val="24"/>
                <w:szCs w:val="24"/>
                <w:lang w:val="en-US"/>
              </w:rPr>
              <w:t xml:space="preserve">1. The Bank’s issuer (Entity) ratings:</w:t>
            </w:r>
          </w:p>
          <w:p w14:paraId="21E181F4" w14:textId="77777777" w:rsidR="001962C7" w:rsidRPr="001962C7" w:rsidRDefault="001962C7" w:rsidP="001962C7">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a) the Bank’s Long-Term and Short-Term Issuer Credit Ratings and the rating Outlook;</w:t>
            </w:r>
          </w:p>
          <w:p w14:paraId="63433F9C" w14:textId="77777777" w:rsidR="001962C7" w:rsidRPr="001962C7" w:rsidRDefault="001962C7" w:rsidP="001962C7">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b) where provided for by the Agency’s methodology, the Bank’s standalone credit profile / viability rating and government support assessment.</w:t>
            </w:r>
          </w:p>
          <w:p w14:paraId="49CEE492" w14:textId="6DDAC80B" w:rsidR="001962C7" w:rsidRPr="001962C7" w:rsidRDefault="001962C7" w:rsidP="001962C7">
            <w:pPr>
              <w:pStyle w:val="50"/>
              <w:shd w:val="clear" w:color="auto" w:fill="auto"/>
              <w:spacing w:before="0" w:line="240" w:lineRule="auto"/>
              <w:jc w:val="both"/>
              <w:rPr>
                <w:color w:val="000000"/>
                <w:sz w:val="24"/>
                <w:szCs w:val="24"/>
                <w:lang w:val="en-US" w:eastAsia="en-US" w:bidi="en-US"/>
              </w:rPr>
            </w:pPr>
            <w:r>
              <w:rPr>
                <w:rStyle w:val="295pt"/>
                <w:b/>
                <w:bCs/>
                <w:sz w:val="24"/>
                <w:szCs w:val="24"/>
                <w:lang w:val="en-US"/>
              </w:rPr>
              <w:t xml:space="preserve">2. Monitoring and documentation of results:</w:t>
            </w:r>
          </w:p>
          <w:p w14:paraId="21238CEF" w14:textId="77777777" w:rsidR="001962C7" w:rsidRPr="001962C7" w:rsidRDefault="001962C7" w:rsidP="001962C7">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a) review of the assigned ratings at least once a year (annual review) and an out-of-cycle review upon the occurrence of material events affecting the rating;</w:t>
            </w:r>
          </w:p>
          <w:p w14:paraId="6BE262C5" w14:textId="77777777" w:rsidR="001962C7" w:rsidRPr="001962C7" w:rsidRDefault="001962C7" w:rsidP="001962C7">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b) provision to the Bank of a rating letter for each rating decision and publication of a rating action commentary on the Agency’s website;</w:t>
            </w:r>
          </w:p>
          <w:p w14:paraId="66F41760" w14:textId="77777777" w:rsidR="001962C7" w:rsidRPr="001962C7" w:rsidRDefault="001962C7" w:rsidP="001962C7">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c) holding meetings with the Bank’s management (management meetings) as part of the rating process.</w:t>
            </w:r>
          </w:p>
          <w:p w14:paraId="25898185" w14:textId="77777777" w:rsidR="001962C7" w:rsidRDefault="001962C7" w:rsidP="001962C7">
            <w:pPr>
              <w:pStyle w:val="50"/>
              <w:shd w:val="clear" w:color="auto" w:fill="auto"/>
              <w:spacing w:before="0" w:line="240" w:lineRule="auto"/>
              <w:jc w:val="both"/>
              <w:rPr>
                <w:rStyle w:val="295pt"/>
                <w:sz w:val="24"/>
                <w:szCs w:val="24"/>
                <w:lang w:val="en-US"/>
              </w:rPr>
            </w:pPr>
            <w:r>
              <w:rPr>
                <w:rStyle w:val="295pt"/>
                <w:sz w:val="24"/>
                <w:szCs w:val="24"/>
                <w:lang w:val="en-US"/>
              </w:rPr>
              <w:t xml:space="preserve">These documents must be provided in English in electronic form.</w:t>
            </w:r>
          </w:p>
        </w:tc>
      </w:tr>
      <w:tr w:rsidR="000D0445" w:rsidRPr="001962C7" w14:paraId="488F1E28" w14:textId="77777777" w:rsidTr="001962C7">
        <w:trPr>
          <w:trHeight w:val="422"/>
        </w:trPr>
        <w:tc>
          <w:tcPr>
            <w:tcW w:w="522" w:type="dxa"/>
            <w:tcBorders>
              <w:top w:val="single" w:sz="4" w:space="0" w:color="000000"/>
              <w:left w:val="single" w:sz="4" w:space="0" w:color="000000"/>
              <w:bottom w:val="single" w:sz="4" w:space="0" w:color="000000"/>
              <w:right w:val="single" w:sz="4" w:space="0" w:color="000000"/>
            </w:tcBorders>
            <w:vAlign w:val="center"/>
          </w:tcPr>
          <w:p w14:paraId="24BE0FAE" w14:textId="3584C6FD" w:rsidR="000D0445" w:rsidRPr="001962C7" w:rsidRDefault="000D0445" w:rsidP="000D0445">
            <w:pPr>
              <w:pStyle w:val="50"/>
              <w:shd w:val="clear" w:color="auto" w:fill="auto"/>
              <w:spacing w:before="0"/>
              <w:jc w:val="center"/>
              <w:rPr>
                <w:rStyle w:val="295pt"/>
                <w:sz w:val="24"/>
                <w:szCs w:val="24"/>
                <w:lang w:val="en-US"/>
              </w:rPr>
            </w:pPr>
            <w:r>
              <w:rPr>
                <w:rStyle w:val="295pt"/>
                <w:sz w:val="24"/>
                <w:szCs w:val="24"/>
                <w:lang w:val="en-US"/>
              </w:rPr>
              <w:lastRenderedPageBreak/>
              <w:t>6</w:t>
            </w:r>
          </w:p>
        </w:tc>
        <w:tc>
          <w:tcPr>
            <w:tcW w:w="2504" w:type="dxa"/>
            <w:tcBorders>
              <w:top w:val="single" w:sz="4" w:space="0" w:color="000000"/>
              <w:left w:val="single" w:sz="4" w:space="0" w:color="000000"/>
              <w:bottom w:val="single" w:sz="4" w:space="0" w:color="000000"/>
              <w:right w:val="single" w:sz="4" w:space="0" w:color="000000"/>
            </w:tcBorders>
            <w:vAlign w:val="center"/>
          </w:tcPr>
          <w:p w14:paraId="2A6C3DBC" w14:textId="6E900558" w:rsidR="000D0445" w:rsidRPr="001962C7" w:rsidRDefault="000D0445" w:rsidP="000D0445">
            <w:pPr>
              <w:rPr>
                <w:rStyle w:val="ezkurwreuab5ozgtqnkl"/>
                <w:rFonts w:ascii="Times New Roman" w:hAnsi="Times New Roman"/>
                <w:lang w:val="en-US"/>
              </w:rPr>
            </w:pPr>
            <w:r>
              <w:rPr>
                <w:rStyle w:val="295pt"/>
                <w:sz w:val="24"/>
                <w:szCs w:val="24"/>
                <w:lang w:val="en-US"/>
              </w:rPr>
              <w:t xml:space="preserve">Services to be performed by tender participants</w:t>
            </w:r>
          </w:p>
        </w:tc>
        <w:tc>
          <w:tcPr>
            <w:tcW w:w="6544" w:type="dxa"/>
            <w:tcBorders>
              <w:top w:val="single" w:sz="4" w:space="0" w:color="000000"/>
              <w:left w:val="single" w:sz="4" w:space="0" w:color="000000"/>
              <w:bottom w:val="single" w:sz="4" w:space="0" w:color="000000"/>
              <w:right w:val="single" w:sz="4" w:space="0" w:color="000000"/>
            </w:tcBorders>
            <w:vAlign w:val="center"/>
          </w:tcPr>
          <w:p w14:paraId="2629E107" w14:textId="77777777" w:rsidR="000D0445" w:rsidRPr="001962C7" w:rsidRDefault="000D0445" w:rsidP="000D0445">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 Analysis of the Bank’s financial indicators, capitalization, asset quality, liquidity, funding sources, corporate governance, government support and operating environment, and assignment of credit ratings on the international scale in accordance with the Agency’s methodology;</w:t>
            </w:r>
          </w:p>
          <w:p w14:paraId="2FAA9E4A" w14:textId="77777777" w:rsidR="000D0445" w:rsidRPr="001962C7" w:rsidRDefault="000D0445" w:rsidP="000D0445">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 Giving the Bank an opportunity to verify the accuracy of factual information before the rating decision is made public, and providing a rating letter;</w:t>
            </w:r>
          </w:p>
          <w:p w14:paraId="3F874111" w14:textId="77777777" w:rsidR="000D0445" w:rsidRPr="001962C7" w:rsidRDefault="000D0445" w:rsidP="000D0445">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 Publishing on the Agency’s website a rating action commentary substantiating the rating decision;</w:t>
            </w:r>
          </w:p>
          <w:p w14:paraId="42D80E41" w14:textId="77777777" w:rsidR="000D0445" w:rsidRPr="001962C7" w:rsidRDefault="000D0445" w:rsidP="000D0445">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 Reviewing the assigned ratings at least once a year and conducting an out-of-cycle review upon the occurrence of material events affecting the rating (monitoring);</w:t>
            </w:r>
          </w:p>
          <w:p w14:paraId="3CE6EA9D" w14:textId="77777777" w:rsidR="000D0445" w:rsidRPr="001962C7" w:rsidRDefault="000D0445" w:rsidP="000D0445">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 Holding rating meetings with the Bank’s management (management meetings) and appointing a team of analysts responsible for communication with the Bank;</w:t>
            </w:r>
          </w:p>
          <w:p w14:paraId="01C3692C" w14:textId="77777777" w:rsidR="000D0445" w:rsidRPr="001962C7" w:rsidRDefault="000D0445" w:rsidP="000D0445">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 Protecting confidential information provided by the Bank in accordance with the Agency’s confidentiality policy;</w:t>
            </w:r>
          </w:p>
          <w:p w14:paraId="15891FA1" w14:textId="40A6722F" w:rsidR="000D0445" w:rsidRPr="001962C7" w:rsidRDefault="000D0445" w:rsidP="000D0445">
            <w:pPr>
              <w:pStyle w:val="50"/>
              <w:shd w:val="clear" w:color="auto" w:fill="auto"/>
              <w:spacing w:before="0" w:line="240" w:lineRule="auto"/>
              <w:jc w:val="both"/>
              <w:rPr>
                <w:rStyle w:val="295pt"/>
                <w:sz w:val="24"/>
                <w:szCs w:val="24"/>
                <w:lang w:val="en-US"/>
              </w:rPr>
            </w:pPr>
            <w:r>
              <w:rPr>
                <w:rStyle w:val="295pt"/>
                <w:sz w:val="24"/>
                <w:szCs w:val="24"/>
                <w:lang w:val="en-US"/>
              </w:rPr>
              <w:t xml:space="preserve">- The ratings assigned by the Agency must be recognized by participants in the international capital markets and by international financial institutions.</w:t>
            </w:r>
          </w:p>
        </w:tc>
      </w:tr>
      <w:tr w:rsidR="000D0445" w:rsidRPr="00C1337F" w14:paraId="4773CCC8" w14:textId="77777777" w:rsidTr="001962C7">
        <w:trPr>
          <w:trHeight w:val="422"/>
        </w:trPr>
        <w:tc>
          <w:tcPr>
            <w:tcW w:w="522" w:type="dxa"/>
            <w:tcBorders>
              <w:top w:val="single" w:sz="4" w:space="0" w:color="000000"/>
              <w:left w:val="single" w:sz="4" w:space="0" w:color="000000"/>
              <w:bottom w:val="single" w:sz="4" w:space="0" w:color="000000"/>
              <w:right w:val="single" w:sz="4" w:space="0" w:color="000000"/>
            </w:tcBorders>
            <w:vAlign w:val="center"/>
          </w:tcPr>
          <w:p w14:paraId="3BAC085F" w14:textId="1019EEF5" w:rsidR="000D0445" w:rsidRPr="001962C7" w:rsidRDefault="000D0445" w:rsidP="000D0445">
            <w:pPr>
              <w:pStyle w:val="50"/>
              <w:shd w:val="clear" w:color="auto" w:fill="auto"/>
              <w:spacing w:before="0"/>
              <w:jc w:val="center"/>
            </w:pPr>
            <w:r>
              <w:rPr>
                <w:rStyle w:val="295pt"/>
                <w:sz w:val="24"/>
                <w:szCs w:val="24"/>
                <w:lang w:val="en-US"/>
              </w:rPr>
              <w:t>7</w:t>
            </w:r>
          </w:p>
        </w:tc>
        <w:tc>
          <w:tcPr>
            <w:tcW w:w="2504" w:type="dxa"/>
            <w:tcBorders>
              <w:top w:val="single" w:sz="4" w:space="0" w:color="000000"/>
              <w:left w:val="single" w:sz="4" w:space="0" w:color="000000"/>
              <w:bottom w:val="single" w:sz="4" w:space="0" w:color="000000"/>
              <w:right w:val="single" w:sz="4" w:space="0" w:color="000000"/>
            </w:tcBorders>
            <w:vAlign w:val="center"/>
          </w:tcPr>
          <w:p w14:paraId="51C9EC5E" w14:textId="77777777" w:rsidR="000D0445" w:rsidRPr="001962C7" w:rsidRDefault="000D0445" w:rsidP="000D0445">
            <w:pPr>
              <w:pStyle w:val="50"/>
              <w:shd w:val="clear" w:color="auto" w:fill="auto"/>
              <w:spacing w:before="0" w:line="240" w:lineRule="auto"/>
              <w:rPr>
                <w:b/>
                <w:bCs/>
                <w:sz w:val="24"/>
                <w:szCs w:val="24"/>
                <w:lang w:val="en-US"/>
              </w:rPr>
            </w:pPr>
            <w:r>
              <w:rPr>
                <w:rStyle w:val="295pt"/>
                <w:sz w:val="24"/>
                <w:szCs w:val="24"/>
                <w:lang w:val="en-US"/>
              </w:rPr>
              <w:t xml:space="preserve">Service performance period</w:t>
            </w:r>
          </w:p>
        </w:tc>
        <w:tc>
          <w:tcPr>
            <w:tcW w:w="6544" w:type="dxa"/>
            <w:tcBorders>
              <w:top w:val="single" w:sz="4" w:space="0" w:color="000000"/>
              <w:left w:val="single" w:sz="4" w:space="0" w:color="000000"/>
              <w:bottom w:val="single" w:sz="4" w:space="0" w:color="000000"/>
              <w:right w:val="single" w:sz="4" w:space="0" w:color="000000"/>
            </w:tcBorders>
            <w:vAlign w:val="center"/>
          </w:tcPr>
          <w:p w14:paraId="4A7DB368" w14:textId="23E9EC1B" w:rsidR="000D0445" w:rsidRPr="001962C7" w:rsidRDefault="000D0445" w:rsidP="000D0445">
            <w:pPr>
              <w:pStyle w:val="50"/>
              <w:shd w:val="clear" w:color="auto" w:fill="auto"/>
              <w:spacing w:before="0" w:line="240" w:lineRule="auto"/>
              <w:jc w:val="both"/>
              <w:rPr>
                <w:color w:val="000000"/>
                <w:sz w:val="24"/>
                <w:szCs w:val="24"/>
                <w:lang w:val="en-US" w:eastAsia="en-US" w:bidi="en-US"/>
              </w:rPr>
            </w:pPr>
            <w:r>
              <w:rPr>
                <w:rStyle w:val="295pt"/>
                <w:b/>
                <w:bCs/>
                <w:sz w:val="24"/>
                <w:szCs w:val="24"/>
                <w:lang w:val="en-US"/>
              </w:rPr>
              <w:t xml:space="preserve">1. Service period:</w:t>
            </w:r>
            <w:r>
              <w:rPr>
                <w:rStyle w:val="295pt"/>
                <w:bCs/>
                <w:sz w:val="24"/>
                <w:szCs w:val="24"/>
                <w:lang w:val="en-US"/>
              </w:rPr>
              <w:t xml:space="preserve"> 36 (thirty-six) months after the contract is signed between the Parties.</w:t>
            </w:r>
          </w:p>
          <w:p w14:paraId="53586DC7" w14:textId="77777777" w:rsidR="000D0445" w:rsidRPr="001962C7" w:rsidRDefault="000D0445" w:rsidP="000D0445">
            <w:pPr>
              <w:pStyle w:val="50"/>
              <w:shd w:val="clear" w:color="auto" w:fill="auto"/>
              <w:spacing w:before="0" w:line="240" w:lineRule="auto"/>
              <w:jc w:val="both"/>
              <w:rPr>
                <w:color w:val="000000"/>
                <w:sz w:val="24"/>
                <w:szCs w:val="24"/>
                <w:lang w:val="en-US" w:eastAsia="en-US" w:bidi="en-US"/>
              </w:rPr>
            </w:pPr>
            <w:r>
              <w:rPr>
                <w:rStyle w:val="295pt"/>
                <w:b/>
                <w:bCs/>
                <w:sz w:val="24"/>
                <w:szCs w:val="24"/>
                <w:lang w:val="en-US"/>
              </w:rPr>
              <w:t xml:space="preserve">2. The Bank’s issuer ratings (initial rating):</w:t>
            </w:r>
            <w:r>
              <w:rPr>
                <w:rStyle w:val="295pt"/>
                <w:sz w:val="24"/>
                <w:szCs w:val="24"/>
                <w:lang w:val="en-US"/>
              </w:rPr>
              <w:t xml:space="preserve"> the rating letter is provided and the rating is made public within 45 (forty-five) calendar days from the date the Bank has fully provided the information required for the rating process.</w:t>
            </w:r>
          </w:p>
          <w:p w14:paraId="027852B3" w14:textId="31C81411" w:rsidR="000D0445" w:rsidRPr="001962C7" w:rsidRDefault="000D0445" w:rsidP="000D0445">
            <w:pPr>
              <w:pStyle w:val="50"/>
              <w:shd w:val="clear" w:color="auto" w:fill="auto"/>
              <w:spacing w:before="0" w:line="240" w:lineRule="auto"/>
              <w:jc w:val="both"/>
              <w:rPr>
                <w:color w:val="000000"/>
                <w:sz w:val="24"/>
                <w:szCs w:val="24"/>
                <w:lang w:val="en-US" w:eastAsia="en-US" w:bidi="en-US"/>
              </w:rPr>
            </w:pPr>
            <w:r>
              <w:rPr>
                <w:rStyle w:val="295pt"/>
                <w:b/>
                <w:bCs/>
                <w:sz w:val="24"/>
                <w:szCs w:val="24"/>
                <w:lang w:val="en-US"/>
              </w:rPr>
              <w:t xml:space="preserve">3. Annual reviews:</w:t>
            </w:r>
            <w:r>
              <w:rPr>
                <w:rStyle w:val="295pt"/>
                <w:bCs/>
                <w:sz w:val="24"/>
                <w:szCs w:val="24"/>
                <w:lang w:val="en-US"/>
              </w:rPr>
              <w:t xml:space="preserve"> at least 1 (one) time in each year of the contract term.</w:t>
            </w:r>
          </w:p>
        </w:tc>
      </w:tr>
      <w:tr w:rsidR="000D0445" w:rsidRPr="00C1337F" w14:paraId="00AFF490" w14:textId="77777777" w:rsidTr="001962C7">
        <w:trPr>
          <w:trHeight w:val="422"/>
        </w:trPr>
        <w:tc>
          <w:tcPr>
            <w:tcW w:w="522" w:type="dxa"/>
            <w:tcBorders>
              <w:top w:val="single" w:sz="4" w:space="0" w:color="000000"/>
              <w:left w:val="single" w:sz="4" w:space="0" w:color="000000"/>
              <w:bottom w:val="single" w:sz="4" w:space="0" w:color="000000"/>
              <w:right w:val="single" w:sz="4" w:space="0" w:color="000000"/>
            </w:tcBorders>
            <w:vAlign w:val="center"/>
          </w:tcPr>
          <w:p w14:paraId="4083F0F8" w14:textId="7651C7AF" w:rsidR="000D0445" w:rsidRPr="001962C7" w:rsidRDefault="000D0445" w:rsidP="000D0445">
            <w:pPr>
              <w:pStyle w:val="50"/>
              <w:shd w:val="clear" w:color="auto" w:fill="auto"/>
              <w:spacing w:before="0"/>
              <w:jc w:val="center"/>
            </w:pPr>
            <w:r>
              <w:rPr>
                <w:rStyle w:val="295pt"/>
                <w:sz w:val="24"/>
                <w:szCs w:val="24"/>
                <w:lang w:val="en-US"/>
              </w:rPr>
              <w:lastRenderedPageBreak/>
              <w:t>8</w:t>
            </w:r>
          </w:p>
        </w:tc>
        <w:tc>
          <w:tcPr>
            <w:tcW w:w="2504" w:type="dxa"/>
            <w:tcBorders>
              <w:top w:val="single" w:sz="4" w:space="0" w:color="000000"/>
              <w:left w:val="single" w:sz="4" w:space="0" w:color="000000"/>
              <w:bottom w:val="single" w:sz="4" w:space="0" w:color="000000"/>
              <w:right w:val="single" w:sz="4" w:space="0" w:color="000000"/>
            </w:tcBorders>
            <w:vAlign w:val="center"/>
          </w:tcPr>
          <w:p w14:paraId="20C02B8B" w14:textId="77777777" w:rsidR="000D0445" w:rsidRPr="001962C7" w:rsidRDefault="000D0445" w:rsidP="000D0445">
            <w:pPr>
              <w:pStyle w:val="50"/>
              <w:shd w:val="clear" w:color="auto" w:fill="auto"/>
              <w:spacing w:before="0" w:line="240" w:lineRule="auto"/>
              <w:rPr>
                <w:b/>
                <w:bCs/>
                <w:sz w:val="24"/>
                <w:szCs w:val="24"/>
                <w:lang w:val="en-US"/>
              </w:rPr>
            </w:pPr>
            <w:r>
              <w:rPr>
                <w:rStyle w:val="295pt"/>
                <w:sz w:val="24"/>
                <w:szCs w:val="24"/>
                <w:lang w:val="en-US"/>
              </w:rPr>
              <w:t xml:space="preserve">Payment terms</w:t>
            </w:r>
          </w:p>
        </w:tc>
        <w:tc>
          <w:tcPr>
            <w:tcW w:w="6544" w:type="dxa"/>
            <w:tcBorders>
              <w:top w:val="single" w:sz="4" w:space="0" w:color="000000"/>
              <w:left w:val="single" w:sz="4" w:space="0" w:color="000000"/>
              <w:bottom w:val="single" w:sz="4" w:space="0" w:color="000000"/>
              <w:right w:val="single" w:sz="4" w:space="0" w:color="000000"/>
            </w:tcBorders>
            <w:vAlign w:val="center"/>
          </w:tcPr>
          <w:p w14:paraId="000B2A81" w14:textId="5D6545E6" w:rsidR="0041599A" w:rsidRPr="00C1337F" w:rsidRDefault="00C1337F" w:rsidP="00C1337F">
            <w:pPr>
              <w:pStyle w:val="50"/>
              <w:shd w:val="clear" w:color="auto" w:fill="auto"/>
              <w:spacing w:before="0" w:line="240" w:lineRule="auto"/>
              <w:jc w:val="both"/>
              <w:rPr>
                <w:rStyle w:val="295pt"/>
                <w:sz w:val="24"/>
                <w:szCs w:val="24"/>
                <w:lang w:val="en-US"/>
              </w:rPr>
            </w:pPr>
            <w:r>
              <w:rPr>
                <w:rStyle w:val="295pt"/>
                <w:sz w:val="24"/>
                <w:szCs w:val="24"/>
                <w:lang w:val="en-US"/>
              </w:rPr>
              <w:t xml:space="preserve">- Annual fees – within 5 (five) banking days after the Parties sign the invoice.</w:t>
            </w:r>
          </w:p>
        </w:tc>
      </w:tr>
      <w:tr w:rsidR="000D0445" w:rsidRPr="00C1337F" w14:paraId="654F764A" w14:textId="77777777" w:rsidTr="001962C7">
        <w:trPr>
          <w:trHeight w:val="422"/>
        </w:trPr>
        <w:tc>
          <w:tcPr>
            <w:tcW w:w="522" w:type="dxa"/>
            <w:tcBorders>
              <w:top w:val="single" w:sz="4" w:space="0" w:color="000000"/>
              <w:left w:val="single" w:sz="4" w:space="0" w:color="000000"/>
              <w:bottom w:val="single" w:sz="4" w:space="0" w:color="000000"/>
              <w:right w:val="single" w:sz="4" w:space="0" w:color="000000"/>
            </w:tcBorders>
            <w:vAlign w:val="center"/>
          </w:tcPr>
          <w:p w14:paraId="7E276748" w14:textId="08572B2F" w:rsidR="000D0445" w:rsidRPr="001962C7" w:rsidRDefault="000D0445" w:rsidP="000D0445">
            <w:pPr>
              <w:pStyle w:val="50"/>
              <w:shd w:val="clear" w:color="auto" w:fill="auto"/>
              <w:spacing w:before="0"/>
              <w:jc w:val="center"/>
            </w:pPr>
            <w:r>
              <w:rPr>
                <w:rStyle w:val="295pt"/>
                <w:sz w:val="24"/>
                <w:szCs w:val="24"/>
                <w:lang w:val="en-US"/>
              </w:rPr>
              <w:t>9</w:t>
            </w:r>
          </w:p>
        </w:tc>
        <w:tc>
          <w:tcPr>
            <w:tcW w:w="2504" w:type="dxa"/>
            <w:tcBorders>
              <w:top w:val="single" w:sz="4" w:space="0" w:color="000000"/>
              <w:left w:val="single" w:sz="4" w:space="0" w:color="000000"/>
              <w:bottom w:val="single" w:sz="4" w:space="0" w:color="000000"/>
              <w:right w:val="single" w:sz="4" w:space="0" w:color="000000"/>
            </w:tcBorders>
            <w:vAlign w:val="center"/>
          </w:tcPr>
          <w:p w14:paraId="48B239C7" w14:textId="77777777" w:rsidR="000D0445" w:rsidRPr="001962C7" w:rsidRDefault="000D0445" w:rsidP="000D0445">
            <w:pPr>
              <w:pStyle w:val="50"/>
              <w:shd w:val="clear" w:color="auto" w:fill="auto"/>
              <w:spacing w:before="0" w:line="240" w:lineRule="auto"/>
              <w:rPr>
                <w:b/>
                <w:bCs/>
                <w:sz w:val="24"/>
                <w:szCs w:val="24"/>
                <w:lang w:val="en-US"/>
              </w:rPr>
            </w:pPr>
            <w:r>
              <w:rPr>
                <w:rStyle w:val="295pt"/>
                <w:sz w:val="24"/>
                <w:szCs w:val="24"/>
                <w:lang w:val="en-US"/>
              </w:rPr>
              <w:t xml:space="preserve">Place of delivery/performance of the work or service</w:t>
            </w:r>
          </w:p>
        </w:tc>
        <w:tc>
          <w:tcPr>
            <w:tcW w:w="6544" w:type="dxa"/>
            <w:tcBorders>
              <w:top w:val="single" w:sz="4" w:space="0" w:color="000000"/>
              <w:left w:val="single" w:sz="4" w:space="0" w:color="000000"/>
              <w:bottom w:val="single" w:sz="4" w:space="0" w:color="000000"/>
              <w:right w:val="single" w:sz="4" w:space="0" w:color="000000"/>
            </w:tcBorders>
            <w:vAlign w:val="center"/>
          </w:tcPr>
          <w:p w14:paraId="785F749C" w14:textId="77777777" w:rsidR="000D0445" w:rsidRPr="001962C7" w:rsidRDefault="000D0445" w:rsidP="000D0445">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“Business Development Bank” JSCB, 18-A A. Navoiy Street, Shaykhontohur District, Tashkent.</w:t>
            </w:r>
          </w:p>
          <w:p w14:paraId="01098567" w14:textId="77777777" w:rsidR="000D0445" w:rsidRPr="001962C7" w:rsidRDefault="000D0445" w:rsidP="000D0445">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The services are provided remotely (electronically); meetings within the rating process are held at the Bank’s premises or via videoconference.</w:t>
            </w:r>
          </w:p>
        </w:tc>
      </w:tr>
      <w:tr w:rsidR="000D0445" w:rsidRPr="00C1337F" w14:paraId="58179157" w14:textId="77777777" w:rsidTr="001962C7">
        <w:trPr>
          <w:trHeight w:val="422"/>
        </w:trPr>
        <w:tc>
          <w:tcPr>
            <w:tcW w:w="522" w:type="dxa"/>
            <w:tcBorders>
              <w:top w:val="single" w:sz="4" w:space="0" w:color="000000"/>
              <w:left w:val="single" w:sz="4" w:space="0" w:color="000000"/>
              <w:bottom w:val="single" w:sz="4" w:space="0" w:color="000000"/>
              <w:right w:val="single" w:sz="4" w:space="0" w:color="000000"/>
            </w:tcBorders>
            <w:vAlign w:val="center"/>
          </w:tcPr>
          <w:p w14:paraId="3479E5BA" w14:textId="602293C1" w:rsidR="000D0445" w:rsidRPr="000D0445" w:rsidRDefault="000D0445" w:rsidP="000D0445">
            <w:pPr>
              <w:pStyle w:val="50"/>
              <w:shd w:val="clear" w:color="auto" w:fill="auto"/>
              <w:spacing w:before="0"/>
              <w:jc w:val="center"/>
            </w:pPr>
            <w:r>
              <w:rPr>
                <w:rStyle w:val="295pt"/>
                <w:sz w:val="24"/>
                <w:szCs w:val="24"/>
                <w:lang w:val="en-US"/>
              </w:rPr>
              <w:t>10</w:t>
            </w:r>
          </w:p>
        </w:tc>
        <w:tc>
          <w:tcPr>
            <w:tcW w:w="2504" w:type="dxa"/>
            <w:tcBorders>
              <w:top w:val="single" w:sz="4" w:space="0" w:color="000000"/>
              <w:left w:val="single" w:sz="4" w:space="0" w:color="000000"/>
              <w:bottom w:val="single" w:sz="4" w:space="0" w:color="000000"/>
              <w:right w:val="single" w:sz="4" w:space="0" w:color="000000"/>
            </w:tcBorders>
            <w:vAlign w:val="center"/>
          </w:tcPr>
          <w:p w14:paraId="436EE4A4" w14:textId="77777777" w:rsidR="000D0445" w:rsidRPr="000D0445" w:rsidRDefault="000D0445" w:rsidP="000D0445">
            <w:pPr>
              <w:pStyle w:val="50"/>
              <w:shd w:val="clear" w:color="auto" w:fill="auto"/>
              <w:spacing w:before="0" w:line="240" w:lineRule="auto"/>
              <w:rPr>
                <w:b/>
                <w:bCs/>
                <w:sz w:val="24"/>
                <w:szCs w:val="24"/>
                <w:lang w:val="en-US"/>
              </w:rPr>
            </w:pPr>
            <w:r>
              <w:rPr>
                <w:rStyle w:val="295pt"/>
                <w:sz w:val="24"/>
                <w:szCs w:val="24"/>
                <w:lang w:val="en-US"/>
              </w:rPr>
              <w:t xml:space="preserve">Requirements for tender participants</w:t>
            </w:r>
          </w:p>
        </w:tc>
        <w:tc>
          <w:tcPr>
            <w:tcW w:w="6544" w:type="dxa"/>
            <w:tcBorders>
              <w:top w:val="single" w:sz="4" w:space="0" w:color="000000"/>
              <w:left w:val="single" w:sz="4" w:space="0" w:color="000000"/>
              <w:bottom w:val="single" w:sz="4" w:space="0" w:color="000000"/>
              <w:right w:val="single" w:sz="4" w:space="0" w:color="000000"/>
            </w:tcBorders>
            <w:vAlign w:val="center"/>
          </w:tcPr>
          <w:p w14:paraId="104639C7" w14:textId="345B17D4" w:rsidR="000D0445" w:rsidRPr="001B419F" w:rsidRDefault="000D0445" w:rsidP="000D0445">
            <w:pPr>
              <w:pStyle w:val="50"/>
              <w:shd w:val="clear" w:color="auto" w:fill="auto"/>
              <w:spacing w:before="0" w:line="240" w:lineRule="auto"/>
              <w:jc w:val="both"/>
              <w:rPr>
                <w:rStyle w:val="295pt"/>
                <w:sz w:val="24"/>
                <w:szCs w:val="24"/>
                <w:lang w:val="en-US"/>
              </w:rPr>
            </w:pPr>
            <w:r>
              <w:rPr>
                <w:rStyle w:val="295pt"/>
                <w:sz w:val="24"/>
                <w:szCs w:val="24"/>
                <w:lang w:val="en-US"/>
              </w:rPr>
              <w:t xml:space="preserve">- </w:t>
            </w:r>
            <w:r>
              <w:rPr>
                <w:lang w:val="en-US"/>
              </w:rPr>
              <w:t xml:space="preserve"> </w:t>
            </w:r>
            <w:r>
              <w:rPr>
                <w:rStyle w:val="295pt"/>
                <w:sz w:val="24"/>
                <w:szCs w:val="24"/>
                <w:lang w:val="en-US"/>
              </w:rPr>
              <w:t xml:space="preserve">The Agency must be recognized as a Nationally Recognized Statistical Rating Organization (NRSRO) by the U.S. Securities and Exchange Commission (SEC), or be registered as a credit rating agency with the UK Financial Conduct Authority (FCA) or the European Securities and Markets Authority (ESMA) (an extract from the regulators’ register or certificates);</w:t>
            </w:r>
          </w:p>
          <w:p w14:paraId="7110B809" w14:textId="6176DE5E" w:rsidR="000D0445" w:rsidRPr="001B419F" w:rsidRDefault="000D0445" w:rsidP="000D0445">
            <w:pPr>
              <w:pStyle w:val="50"/>
              <w:shd w:val="clear" w:color="auto" w:fill="auto"/>
              <w:spacing w:before="0" w:line="240" w:lineRule="auto"/>
              <w:jc w:val="both"/>
              <w:rPr>
                <w:rStyle w:val="295pt"/>
                <w:sz w:val="24"/>
                <w:szCs w:val="24"/>
                <w:lang w:val="en-US"/>
              </w:rPr>
            </w:pPr>
            <w:r>
              <w:rPr>
                <w:rStyle w:val="295pt"/>
                <w:sz w:val="24"/>
                <w:szCs w:val="24"/>
                <w:lang w:val="en-US"/>
              </w:rPr>
              <w:t xml:space="preserve">- The Agency must have experience in providing credit rating assignment or monitoring services;</w:t>
            </w:r>
          </w:p>
          <w:p w14:paraId="74CED45C" w14:textId="77777777" w:rsidR="000D0445" w:rsidRPr="001B419F" w:rsidRDefault="000D0445" w:rsidP="000D0445">
            <w:pPr>
              <w:pStyle w:val="50"/>
              <w:shd w:val="clear" w:color="auto" w:fill="auto"/>
              <w:spacing w:before="0" w:line="240" w:lineRule="auto"/>
              <w:jc w:val="both"/>
              <w:rPr>
                <w:rStyle w:val="295pt"/>
                <w:sz w:val="24"/>
                <w:szCs w:val="24"/>
                <w:lang w:val="en-US"/>
              </w:rPr>
            </w:pPr>
            <w:r>
              <w:rPr>
                <w:rStyle w:val="295pt"/>
                <w:sz w:val="24"/>
                <w:szCs w:val="24"/>
                <w:lang w:val="en-US"/>
              </w:rPr>
              <w:t xml:space="preserve">- The Agency must provide a guarantee that no US, European Union, UK or UN sanctions apply to the Agency and its affiliates, and that there are no restrictions on providing rating services to banks of the Republic of Uzbekistan;</w:t>
            </w:r>
          </w:p>
          <w:p w14:paraId="3DB5BA5E" w14:textId="77777777" w:rsidR="000D0445" w:rsidRPr="001B419F" w:rsidRDefault="000D0445" w:rsidP="000D0445">
            <w:pPr>
              <w:pStyle w:val="50"/>
              <w:shd w:val="clear" w:color="auto" w:fill="auto"/>
              <w:spacing w:before="0" w:line="240" w:lineRule="auto"/>
              <w:jc w:val="both"/>
              <w:rPr>
                <w:rStyle w:val="295pt"/>
                <w:sz w:val="24"/>
                <w:szCs w:val="24"/>
                <w:lang w:val="en-US"/>
              </w:rPr>
            </w:pPr>
            <w:r>
              <w:rPr>
                <w:rStyle w:val="295pt"/>
                <w:sz w:val="24"/>
                <w:szCs w:val="24"/>
                <w:lang w:val="en-US"/>
              </w:rPr>
              <w:t xml:space="preserve">- The Agency must use information provided by the Bank solely for rating purposes and must not disclose confidential information to third parties;</w:t>
            </w:r>
          </w:p>
          <w:p w14:paraId="7FBB862E" w14:textId="77777777" w:rsidR="000D0445" w:rsidRPr="000D0445" w:rsidRDefault="000D0445" w:rsidP="000D0445">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 The Agency must comply with the legislation of the Republic of Uzbekistan and the international regulatory requirements applicable to rating activities.</w:t>
            </w:r>
          </w:p>
        </w:tc>
      </w:tr>
      <w:tr w:rsidR="000D0445" w:rsidRPr="001962C7" w14:paraId="40E23B10" w14:textId="77777777" w:rsidTr="001962C7">
        <w:trPr>
          <w:trHeight w:val="422"/>
        </w:trPr>
        <w:tc>
          <w:tcPr>
            <w:tcW w:w="522" w:type="dxa"/>
            <w:tcBorders>
              <w:top w:val="single" w:sz="4" w:space="0" w:color="000000"/>
              <w:left w:val="single" w:sz="4" w:space="0" w:color="000000"/>
              <w:bottom w:val="single" w:sz="4" w:space="0" w:color="000000"/>
              <w:right w:val="single" w:sz="4" w:space="0" w:color="000000"/>
            </w:tcBorders>
            <w:vAlign w:val="center"/>
          </w:tcPr>
          <w:p w14:paraId="0CABBA3B" w14:textId="5B81DBB9" w:rsidR="000D0445" w:rsidRPr="001962C7" w:rsidRDefault="000D0445" w:rsidP="000D0445">
            <w:pPr>
              <w:pStyle w:val="50"/>
              <w:shd w:val="clear" w:color="auto" w:fill="auto"/>
              <w:spacing w:before="0"/>
              <w:jc w:val="center"/>
            </w:pPr>
            <w:r>
              <w:rPr>
                <w:rStyle w:val="295pt"/>
                <w:sz w:val="24"/>
                <w:szCs w:val="24"/>
                <w:lang w:val="en-US"/>
              </w:rPr>
              <w:t>11</w:t>
            </w:r>
          </w:p>
        </w:tc>
        <w:tc>
          <w:tcPr>
            <w:tcW w:w="2504" w:type="dxa"/>
            <w:tcBorders>
              <w:top w:val="single" w:sz="4" w:space="0" w:color="000000"/>
              <w:left w:val="single" w:sz="4" w:space="0" w:color="000000"/>
              <w:bottom w:val="single" w:sz="4" w:space="0" w:color="000000"/>
              <w:right w:val="single" w:sz="4" w:space="0" w:color="000000"/>
            </w:tcBorders>
            <w:vAlign w:val="center"/>
          </w:tcPr>
          <w:p w14:paraId="33142561" w14:textId="77777777" w:rsidR="000D0445" w:rsidRPr="001962C7" w:rsidRDefault="000D0445" w:rsidP="000D0445">
            <w:pPr>
              <w:pStyle w:val="50"/>
              <w:shd w:val="clear" w:color="auto" w:fill="auto"/>
              <w:spacing w:before="0" w:line="240" w:lineRule="auto"/>
              <w:rPr>
                <w:b/>
                <w:bCs/>
                <w:sz w:val="24"/>
                <w:szCs w:val="24"/>
                <w:lang w:val="en-US"/>
              </w:rPr>
            </w:pPr>
            <w:r>
              <w:rPr>
                <w:rStyle w:val="295pt"/>
                <w:sz w:val="24"/>
                <w:szCs w:val="24"/>
                <w:lang w:val="en-US"/>
              </w:rPr>
              <w:t xml:space="preserve">Customer’s authorized representative</w:t>
            </w:r>
          </w:p>
        </w:tc>
        <w:tc>
          <w:tcPr>
            <w:tcW w:w="6544" w:type="dxa"/>
            <w:tcBorders>
              <w:top w:val="single" w:sz="4" w:space="0" w:color="000000"/>
              <w:left w:val="single" w:sz="4" w:space="0" w:color="000000"/>
              <w:bottom w:val="single" w:sz="4" w:space="0" w:color="000000"/>
              <w:right w:val="single" w:sz="4" w:space="0" w:color="000000"/>
            </w:tcBorders>
            <w:vAlign w:val="center"/>
          </w:tcPr>
          <w:p w14:paraId="26EAB9B4" w14:textId="3E2311DB" w:rsidR="000D0445" w:rsidRPr="001962C7" w:rsidRDefault="000D0445" w:rsidP="000D0445">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B. Akhmanov – Director of the Department for Work with Financial Institutions and Investors</w:t>
            </w:r>
          </w:p>
          <w:p w14:paraId="15E30277" w14:textId="1CD1A240" w:rsidR="000D0445" w:rsidRPr="001962C7" w:rsidRDefault="000D0445" w:rsidP="000D0445">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Tel.: +998 78 150 93 39, extension: 569;</w:t>
            </w:r>
          </w:p>
        </w:tc>
      </w:tr>
      <w:tr w:rsidR="000D0445" w:rsidRPr="00C1337F" w14:paraId="4826D5E3" w14:textId="77777777" w:rsidTr="001962C7">
        <w:trPr>
          <w:trHeight w:val="422"/>
        </w:trPr>
        <w:tc>
          <w:tcPr>
            <w:tcW w:w="522" w:type="dxa"/>
            <w:tcBorders>
              <w:top w:val="single" w:sz="4" w:space="0" w:color="000000"/>
              <w:left w:val="single" w:sz="4" w:space="0" w:color="000000"/>
              <w:bottom w:val="single" w:sz="4" w:space="0" w:color="000000"/>
              <w:right w:val="single" w:sz="4" w:space="0" w:color="000000"/>
            </w:tcBorders>
            <w:vAlign w:val="center"/>
          </w:tcPr>
          <w:p w14:paraId="0B17FA1E" w14:textId="2016006C" w:rsidR="000D0445" w:rsidRPr="001962C7" w:rsidRDefault="000D0445" w:rsidP="000D0445">
            <w:pPr>
              <w:pStyle w:val="50"/>
              <w:shd w:val="clear" w:color="auto" w:fill="auto"/>
              <w:spacing w:before="0"/>
              <w:jc w:val="center"/>
            </w:pPr>
            <w:r>
              <w:rPr>
                <w:rStyle w:val="295pt"/>
                <w:sz w:val="24"/>
                <w:szCs w:val="24"/>
                <w:lang w:val="en-US"/>
              </w:rPr>
              <w:t>12</w:t>
            </w:r>
          </w:p>
        </w:tc>
        <w:tc>
          <w:tcPr>
            <w:tcW w:w="2504" w:type="dxa"/>
            <w:tcBorders>
              <w:top w:val="single" w:sz="4" w:space="0" w:color="000000"/>
              <w:left w:val="single" w:sz="4" w:space="0" w:color="000000"/>
              <w:bottom w:val="single" w:sz="4" w:space="0" w:color="000000"/>
              <w:right w:val="single" w:sz="4" w:space="0" w:color="000000"/>
            </w:tcBorders>
            <w:vAlign w:val="center"/>
          </w:tcPr>
          <w:p w14:paraId="31E30C2B" w14:textId="21416A8C" w:rsidR="000D0445" w:rsidRPr="001962C7" w:rsidRDefault="000D0445" w:rsidP="000D0445">
            <w:pPr>
              <w:pStyle w:val="50"/>
              <w:shd w:val="clear" w:color="auto" w:fill="auto"/>
              <w:spacing w:before="0" w:line="240" w:lineRule="auto"/>
              <w:rPr>
                <w:b/>
                <w:bCs/>
                <w:sz w:val="24"/>
                <w:szCs w:val="24"/>
                <w:lang w:val="en-US"/>
              </w:rPr>
            </w:pPr>
            <w:r>
              <w:rPr>
                <w:rStyle w:val="295pt"/>
                <w:sz w:val="24"/>
                <w:szCs w:val="24"/>
                <w:lang w:val="en-US"/>
              </w:rPr>
              <w:t xml:space="preserve">Additional terms</w:t>
            </w:r>
          </w:p>
        </w:tc>
        <w:tc>
          <w:tcPr>
            <w:tcW w:w="6544" w:type="dxa"/>
            <w:tcBorders>
              <w:top w:val="single" w:sz="4" w:space="0" w:color="000000"/>
              <w:left w:val="single" w:sz="4" w:space="0" w:color="000000"/>
              <w:bottom w:val="single" w:sz="4" w:space="0" w:color="000000"/>
              <w:right w:val="single" w:sz="4" w:space="0" w:color="000000"/>
            </w:tcBorders>
            <w:vAlign w:val="center"/>
          </w:tcPr>
          <w:p w14:paraId="6E569B18" w14:textId="77777777" w:rsidR="000D0445" w:rsidRPr="001962C7" w:rsidRDefault="000D0445" w:rsidP="000D0445">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 The contract may be concluded in the form of the Agency’s standard Fee Agreement on the basis of the Terms and Conditions attached to it, in bilingual form in English and the state language (or Russian); in the event of a discrepancy between the texts, the English text prevails;</w:t>
            </w:r>
          </w:p>
          <w:p w14:paraId="0B88E0E2" w14:textId="77777777" w:rsidR="000D0445" w:rsidRPr="001962C7" w:rsidRDefault="000D0445" w:rsidP="000D0445">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 The Agency has the right to upgrade, downgrade, place on watch or withdraw its ratings; fees do not depend on the rating level or on the use of the Agency’s services;</w:t>
            </w:r>
          </w:p>
          <w:p w14:paraId="1D27E6A4" w14:textId="77777777" w:rsidR="000D0445" w:rsidRPr="001962C7" w:rsidRDefault="000D0445" w:rsidP="000D0445">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 The terms of the contract are confidential; they may be disclosed only as required by law, to regulators, and to the officers, advisers and auditors of the Parties;</w:t>
            </w:r>
          </w:p>
        </w:tc>
      </w:tr>
      <w:tr w:rsidR="000D0445" w14:paraId="476BAC2E" w14:textId="77777777" w:rsidTr="001962C7">
        <w:trPr>
          <w:trHeight w:val="422"/>
        </w:trPr>
        <w:tc>
          <w:tcPr>
            <w:tcW w:w="522" w:type="dxa"/>
            <w:tcBorders>
              <w:top w:val="single" w:sz="4" w:space="0" w:color="000000"/>
              <w:left w:val="single" w:sz="4" w:space="0" w:color="000000"/>
              <w:bottom w:val="single" w:sz="4" w:space="0" w:color="000000"/>
              <w:right w:val="single" w:sz="4" w:space="0" w:color="000000"/>
            </w:tcBorders>
            <w:vAlign w:val="center"/>
          </w:tcPr>
          <w:p w14:paraId="14E840CE" w14:textId="320CFD06" w:rsidR="000D0445" w:rsidRPr="001962C7" w:rsidRDefault="000D0445" w:rsidP="000D0445">
            <w:pPr>
              <w:pStyle w:val="50"/>
              <w:shd w:val="clear" w:color="auto" w:fill="auto"/>
              <w:spacing w:before="0"/>
              <w:jc w:val="center"/>
            </w:pPr>
            <w:r>
              <w:rPr>
                <w:rStyle w:val="295pt"/>
                <w:sz w:val="24"/>
                <w:szCs w:val="24"/>
                <w:lang w:val="en-US"/>
              </w:rPr>
              <w:t>13</w:t>
            </w:r>
          </w:p>
        </w:tc>
        <w:tc>
          <w:tcPr>
            <w:tcW w:w="2504" w:type="dxa"/>
            <w:tcBorders>
              <w:top w:val="single" w:sz="4" w:space="0" w:color="000000"/>
              <w:left w:val="single" w:sz="4" w:space="0" w:color="000000"/>
              <w:bottom w:val="single" w:sz="4" w:space="0" w:color="000000"/>
              <w:right w:val="single" w:sz="4" w:space="0" w:color="000000"/>
            </w:tcBorders>
            <w:vAlign w:val="center"/>
          </w:tcPr>
          <w:p w14:paraId="2D0AE26C" w14:textId="77777777" w:rsidR="000D0445" w:rsidRPr="001962C7" w:rsidRDefault="000D0445" w:rsidP="000D0445">
            <w:pPr>
              <w:pStyle w:val="50"/>
              <w:shd w:val="clear" w:color="auto" w:fill="auto"/>
              <w:spacing w:before="0" w:line="240" w:lineRule="auto"/>
              <w:rPr>
                <w:b/>
                <w:bCs/>
                <w:sz w:val="24"/>
                <w:szCs w:val="24"/>
                <w:lang w:val="en-US"/>
              </w:rPr>
            </w:pPr>
            <w:r>
              <w:rPr>
                <w:rStyle w:val="295pt"/>
                <w:sz w:val="24"/>
                <w:szCs w:val="24"/>
                <w:lang w:val="en-US"/>
              </w:rPr>
              <w:t xml:space="preserve">Warranty period</w:t>
            </w:r>
          </w:p>
        </w:tc>
        <w:tc>
          <w:tcPr>
            <w:tcW w:w="6544" w:type="dxa"/>
            <w:tcBorders>
              <w:top w:val="single" w:sz="4" w:space="0" w:color="000000"/>
              <w:left w:val="single" w:sz="4" w:space="0" w:color="000000"/>
              <w:bottom w:val="single" w:sz="4" w:space="0" w:color="000000"/>
              <w:right w:val="single" w:sz="4" w:space="0" w:color="000000"/>
            </w:tcBorders>
            <w:vAlign w:val="center"/>
          </w:tcPr>
          <w:p w14:paraId="159D1CEF" w14:textId="73194C48" w:rsidR="000D0445" w:rsidRDefault="000D0445" w:rsidP="000D0445">
            <w:pPr>
              <w:pStyle w:val="50"/>
              <w:shd w:val="clear" w:color="auto" w:fill="auto"/>
              <w:spacing w:before="0" w:line="240" w:lineRule="auto"/>
              <w:jc w:val="both"/>
              <w:rPr>
                <w:color w:val="000000"/>
                <w:sz w:val="24"/>
                <w:szCs w:val="24"/>
                <w:lang w:val="en-US" w:eastAsia="en-US" w:bidi="en-US"/>
              </w:rPr>
            </w:pPr>
            <w:r>
              <w:rPr>
                <w:rStyle w:val="295pt"/>
                <w:sz w:val="24"/>
                <w:szCs w:val="24"/>
                <w:lang w:val="en-US"/>
              </w:rPr>
              <w:t xml:space="preserve">During the term of the contract (36 months)</w:t>
            </w:r>
          </w:p>
        </w:tc>
      </w:tr>
    </w:tbl>
    <w:p w14:paraId="08B932C3" w14:textId="77777777" w:rsidR="00D82EE5" w:rsidRDefault="00D82EE5">
      <w:pPr>
        <w:jc w:val="both"/>
        <w:rPr>
          <w:rFonts w:ascii="Times New Roman" w:hAnsi="Times New Roman" w:cs="Times New Roman"/>
          <w:b/>
          <w:bCs/>
          <w:lang w:val="en-US" w:eastAsia="ru-RU"/>
        </w:rPr>
      </w:pPr>
      <w:bookmarkStart w:id="0" w:name="_Hlk158290742"/>
      <w:bookmarkStart w:id="1" w:name="_Hlk159595347"/>
      <w:bookmarkEnd w:id="0"/>
      <w:bookmarkEnd w:id="1"/>
    </w:p>
    <w:sectPr w:rsidR="00D82EE5">
      <w:pgSz w:w="11906" w:h="16838"/>
      <w:pgMar w:top="567" w:right="851" w:bottom="1037"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MS Mincho;ＭＳ 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7C6E56"/>
    <w:multiLevelType w:val="hybridMultilevel"/>
    <w:tmpl w:val="323E002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7434BD3"/>
    <w:multiLevelType w:val="hybridMultilevel"/>
    <w:tmpl w:val="98464F98"/>
    <w:lvl w:ilvl="0" w:tplc="EB9C6A0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6FE32E1"/>
    <w:multiLevelType w:val="multilevel"/>
    <w:tmpl w:val="251AA6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EE5"/>
    <w:rsid w:val="000D0445"/>
    <w:rsid w:val="000D084E"/>
    <w:rsid w:val="001962C7"/>
    <w:rsid w:val="001B419F"/>
    <w:rsid w:val="001F31B7"/>
    <w:rsid w:val="002C01B1"/>
    <w:rsid w:val="002D728E"/>
    <w:rsid w:val="0041599A"/>
    <w:rsid w:val="00424E98"/>
    <w:rsid w:val="004660E6"/>
    <w:rsid w:val="00634433"/>
    <w:rsid w:val="006C3A27"/>
    <w:rsid w:val="007859EB"/>
    <w:rsid w:val="007C7135"/>
    <w:rsid w:val="00852E4A"/>
    <w:rsid w:val="009A47D9"/>
    <w:rsid w:val="00B16914"/>
    <w:rsid w:val="00C1337F"/>
    <w:rsid w:val="00D6450F"/>
    <w:rsid w:val="00D82EE5"/>
    <w:rsid w:val="00D9434C"/>
    <w:rsid w:val="00EA5BE5"/>
    <w:rsid w:val="00FB47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599F4"/>
  <w15:docId w15:val="{80211680-999F-459F-A557-2605A41A2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FreeSans"/>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Cambria" w:eastAsia="Times New Roman" w:hAnsi="Cambria" w:cs="Cambria"/>
      <w:sz w:val="24"/>
      <w:szCs w:val="24"/>
      <w:lang w:val="en-US" w:eastAsia="zh-CN"/>
    </w:rPr>
  </w:style>
  <w:style w:type="paragraph" w:styleId="3">
    <w:name w:val="heading 3"/>
    <w:basedOn w:val="a"/>
    <w:next w:val="a0"/>
    <w:uiPriority w:val="9"/>
    <w:semiHidden/>
    <w:unhideWhenUsed/>
    <w:qFormat/>
    <w:pPr>
      <w:numPr>
        <w:ilvl w:val="2"/>
        <w:numId w:val="1"/>
      </w:numPr>
      <w:spacing w:before="280" w:after="280"/>
      <w:outlineLvl w:val="2"/>
    </w:pPr>
    <w:rPr>
      <w:rFonts w:ascii="Times New Roman" w:hAnsi="Times New Roman" w:cs="Times New Roman"/>
      <w:b/>
      <w:bCs/>
      <w:sz w:val="27"/>
      <w:szCs w:val="27"/>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19"/>
      <w:szCs w:val="19"/>
      <w:u w:val="none"/>
      <w:vertAlign w:val="baseline"/>
      <w:lang w:val="en-US" w:bidi="en-US"/>
    </w:rPr>
  </w:style>
  <w:style w:type="character" w:customStyle="1" w:styleId="WW8Num2z0">
    <w:name w:val="WW8Num2z0"/>
    <w:qFormat/>
    <w:rPr>
      <w:rFonts w:ascii="Times New Roman" w:eastAsia="Calibri"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Times New Roman" w:eastAsia="Calibri" w:hAnsi="Times New Roman"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Calibri"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Arial" w:hAnsi="Arial" w:cs="Times New Roman"/>
      <w:lang w:val="ru-RU"/>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Times New Roman" w:eastAsia="Times New Roman" w:hAnsi="Times New Roman"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Times New Roman" w:eastAsia="Calibri" w:hAnsi="Times New Roman"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en-US" w:bidi="en-US"/>
    </w:rPr>
  </w:style>
  <w:style w:type="character" w:customStyle="1" w:styleId="WW8Num11z0">
    <w:name w:val="WW8Num11z0"/>
    <w:qFormat/>
    <w:rPr>
      <w:rFonts w:ascii="Times New Roman" w:eastAsia="Times New Roman" w:hAnsi="Times New Roman"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a4">
    <w:name w:val="Нижний колонтитул Знак"/>
    <w:qFormat/>
    <w:rPr>
      <w:rFonts w:ascii="Cambria" w:eastAsia="Times New Roman" w:hAnsi="Cambria" w:cs="Times New Roman"/>
      <w:kern w:val="0"/>
      <w:sz w:val="24"/>
      <w:szCs w:val="24"/>
    </w:rPr>
  </w:style>
  <w:style w:type="character" w:styleId="a5">
    <w:name w:val="page number"/>
    <w:rPr>
      <w:rFonts w:cs="Times New Roman"/>
    </w:rPr>
  </w:style>
  <w:style w:type="character" w:customStyle="1" w:styleId="2TimesNewRoman12pt">
    <w:name w:val="Основной текст (2) + Times New Roman;12 pt;Полужирный"/>
    <w:qFormat/>
    <w:rPr>
      <w:rFonts w:ascii="Times New Roman" w:eastAsia="Times New Roman" w:hAnsi="Times New Roman" w:cs="Times New Roman"/>
      <w:b/>
      <w:bCs/>
      <w:i w:val="0"/>
      <w:iCs w:val="0"/>
      <w:caps w:val="0"/>
      <w:smallCaps w:val="0"/>
      <w:strike w:val="0"/>
      <w:dstrike w:val="0"/>
      <w:color w:val="000000"/>
      <w:spacing w:val="0"/>
      <w:w w:val="100"/>
      <w:position w:val="0"/>
      <w:sz w:val="24"/>
      <w:szCs w:val="24"/>
      <w:u w:val="none"/>
      <w:vertAlign w:val="baseline"/>
      <w:lang w:val="en-US" w:bidi="en-US"/>
    </w:rPr>
  </w:style>
  <w:style w:type="character" w:customStyle="1" w:styleId="2TimesNewRoman12pt0">
    <w:name w:val="Основной текст (2) + Times New Roman;12 pt"/>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en-US" w:bidi="en-US"/>
    </w:rPr>
  </w:style>
  <w:style w:type="character" w:customStyle="1" w:styleId="2TimesNewRoman12pt1">
    <w:name w:val="Основной текст (2) + Times New Roman;12 pt;Курсив"/>
    <w:qFormat/>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en-US" w:bidi="en-US"/>
    </w:rPr>
  </w:style>
  <w:style w:type="character" w:customStyle="1" w:styleId="word">
    <w:name w:val="word"/>
    <w:basedOn w:val="a1"/>
    <w:qFormat/>
  </w:style>
  <w:style w:type="character" w:customStyle="1" w:styleId="5">
    <w:name w:val="Основной текст (5)_"/>
    <w:qFormat/>
    <w:rPr>
      <w:rFonts w:ascii="Times New Roman" w:eastAsia="Times New Roman" w:hAnsi="Times New Roman" w:cs="Times New Roman"/>
      <w:shd w:val="clear" w:color="auto" w:fill="FFFFFF"/>
    </w:rPr>
  </w:style>
  <w:style w:type="character" w:customStyle="1" w:styleId="2">
    <w:name w:val="Основной текст (2)_"/>
    <w:qFormat/>
    <w:rPr>
      <w:rFonts w:ascii="Times New Roman" w:eastAsia="Times New Roman" w:hAnsi="Times New Roman" w:cs="Times New Roman"/>
      <w:sz w:val="26"/>
      <w:szCs w:val="26"/>
      <w:shd w:val="clear" w:color="auto" w:fill="FFFFFF"/>
    </w:rPr>
  </w:style>
  <w:style w:type="character" w:customStyle="1" w:styleId="295pt">
    <w:name w:val="Основной текст (2) + 9;5 pt"/>
    <w:qFormat/>
    <w:rPr>
      <w:rFonts w:ascii="Times New Roman" w:eastAsia="Times New Roman" w:hAnsi="Times New Roman" w:cs="Times New Roman"/>
      <w:b w:val="0"/>
      <w:bCs w:val="0"/>
      <w:i w:val="0"/>
      <w:iCs w:val="0"/>
      <w:caps w:val="0"/>
      <w:smallCaps w:val="0"/>
      <w:strike w:val="0"/>
      <w:dstrike w:val="0"/>
      <w:color w:val="000000"/>
      <w:spacing w:val="0"/>
      <w:w w:val="100"/>
      <w:position w:val="0"/>
      <w:sz w:val="19"/>
      <w:szCs w:val="19"/>
      <w:u w:val="none"/>
      <w:vertAlign w:val="baseline"/>
      <w:lang w:val="en-US" w:bidi="en-US"/>
    </w:rPr>
  </w:style>
  <w:style w:type="character" w:customStyle="1" w:styleId="295pt0">
    <w:name w:val="Основной текст (2) + 9;5 pt;Полужирный"/>
    <w:qFormat/>
    <w:rPr>
      <w:rFonts w:ascii="Times New Roman" w:eastAsia="Times New Roman" w:hAnsi="Times New Roman" w:cs="Times New Roman"/>
      <w:b/>
      <w:bCs/>
      <w:i w:val="0"/>
      <w:iCs w:val="0"/>
      <w:caps w:val="0"/>
      <w:smallCaps w:val="0"/>
      <w:strike w:val="0"/>
      <w:dstrike w:val="0"/>
      <w:color w:val="000000"/>
      <w:spacing w:val="0"/>
      <w:w w:val="100"/>
      <w:position w:val="0"/>
      <w:sz w:val="19"/>
      <w:szCs w:val="19"/>
      <w:u w:val="none"/>
      <w:vertAlign w:val="baseline"/>
      <w:lang w:val="en-US" w:bidi="en-US"/>
    </w:rPr>
  </w:style>
  <w:style w:type="character" w:customStyle="1" w:styleId="rynqvb">
    <w:name w:val="rynqvb"/>
    <w:basedOn w:val="a1"/>
    <w:qFormat/>
  </w:style>
  <w:style w:type="character" w:customStyle="1" w:styleId="a6">
    <w:name w:val="Текст примечания Знак"/>
    <w:qFormat/>
    <w:rPr>
      <w:rFonts w:ascii="Times New Roman" w:eastAsia="Times New Roman" w:hAnsi="Times New Roman" w:cs="Times New Roman"/>
    </w:rPr>
  </w:style>
  <w:style w:type="character" w:styleId="a7">
    <w:name w:val="annotation reference"/>
    <w:qFormat/>
    <w:rPr>
      <w:sz w:val="16"/>
      <w:szCs w:val="16"/>
    </w:rPr>
  </w:style>
  <w:style w:type="character" w:customStyle="1" w:styleId="30">
    <w:name w:val="Заголовок 3 Знак"/>
    <w:qFormat/>
    <w:rPr>
      <w:rFonts w:ascii="Times New Roman" w:eastAsia="Times New Roman" w:hAnsi="Times New Roman" w:cs="Times New Roman"/>
      <w:b/>
      <w:bCs/>
      <w:sz w:val="27"/>
      <w:szCs w:val="27"/>
    </w:rPr>
  </w:style>
  <w:style w:type="paragraph" w:customStyle="1" w:styleId="Heading">
    <w:name w:val="Heading"/>
    <w:basedOn w:val="a"/>
    <w:next w:val="a0"/>
    <w:qFormat/>
    <w:pPr>
      <w:keepNext/>
      <w:spacing w:before="240" w:after="120"/>
    </w:pPr>
    <w:rPr>
      <w:rFonts w:ascii="Liberation Sans" w:eastAsia="Noto Sans CJK SC" w:hAnsi="Liberation Sans" w:cs="FreeSans"/>
      <w:sz w:val="28"/>
      <w:szCs w:val="28"/>
    </w:rPr>
  </w:style>
  <w:style w:type="paragraph" w:styleId="a0">
    <w:name w:val="Body Text"/>
    <w:basedOn w:val="a"/>
    <w:pPr>
      <w:spacing w:after="140" w:line="276" w:lineRule="auto"/>
    </w:pPr>
  </w:style>
  <w:style w:type="paragraph" w:styleId="a8">
    <w:name w:val="List"/>
    <w:basedOn w:val="a0"/>
    <w:rPr>
      <w:rFonts w:cs="FreeSans"/>
    </w:rPr>
  </w:style>
  <w:style w:type="paragraph" w:styleId="a9">
    <w:name w:val="caption"/>
    <w:basedOn w:val="a"/>
    <w:qFormat/>
    <w:pPr>
      <w:suppressLineNumbers/>
      <w:spacing w:before="120" w:after="120"/>
    </w:pPr>
    <w:rPr>
      <w:rFonts w:cs="FreeSans"/>
      <w:i/>
      <w:iCs/>
    </w:rPr>
  </w:style>
  <w:style w:type="paragraph" w:customStyle="1" w:styleId="Index">
    <w:name w:val="Index"/>
    <w:basedOn w:val="a"/>
    <w:qFormat/>
    <w:pPr>
      <w:suppressLineNumbers/>
    </w:pPr>
    <w:rPr>
      <w:rFonts w:cs="FreeSans"/>
    </w:rPr>
  </w:style>
  <w:style w:type="paragraph" w:customStyle="1" w:styleId="HeaderandFooter">
    <w:name w:val="Header and Footer"/>
    <w:basedOn w:val="a"/>
    <w:qFormat/>
    <w:pPr>
      <w:suppressLineNumbers/>
      <w:tabs>
        <w:tab w:val="center" w:pos="4819"/>
        <w:tab w:val="right" w:pos="9638"/>
      </w:tabs>
    </w:pPr>
  </w:style>
  <w:style w:type="paragraph" w:styleId="aa">
    <w:name w:val="footer"/>
    <w:basedOn w:val="a"/>
    <w:rPr>
      <w:lang w:val="ru-RU"/>
    </w:rPr>
  </w:style>
  <w:style w:type="paragraph" w:styleId="ab">
    <w:name w:val="List Paragraph"/>
    <w:basedOn w:val="a"/>
    <w:qFormat/>
    <w:pPr>
      <w:ind w:left="720"/>
      <w:contextualSpacing/>
    </w:pPr>
  </w:style>
  <w:style w:type="paragraph" w:customStyle="1" w:styleId="50">
    <w:name w:val="Основной текст (5)"/>
    <w:basedOn w:val="a"/>
    <w:qFormat/>
    <w:pPr>
      <w:widowControl w:val="0"/>
      <w:shd w:val="clear" w:color="auto" w:fill="FFFFFF"/>
      <w:spacing w:before="4560" w:line="266" w:lineRule="exact"/>
    </w:pPr>
    <w:rPr>
      <w:rFonts w:ascii="Times New Roman" w:hAnsi="Times New Roman" w:cs="Times New Roman"/>
      <w:sz w:val="20"/>
      <w:szCs w:val="20"/>
      <w:lang w:val="ru-RU"/>
    </w:rPr>
  </w:style>
  <w:style w:type="paragraph" w:customStyle="1" w:styleId="20">
    <w:name w:val="Основной текст (2)"/>
    <w:basedOn w:val="a"/>
    <w:qFormat/>
    <w:pPr>
      <w:widowControl w:val="0"/>
      <w:shd w:val="clear" w:color="auto" w:fill="FFFFFF"/>
      <w:spacing w:after="640" w:line="328" w:lineRule="exact"/>
    </w:pPr>
    <w:rPr>
      <w:rFonts w:ascii="Times New Roman" w:hAnsi="Times New Roman" w:cs="Times New Roman"/>
      <w:sz w:val="26"/>
      <w:szCs w:val="26"/>
      <w:lang w:val="ru-RU"/>
    </w:rPr>
  </w:style>
  <w:style w:type="paragraph" w:customStyle="1" w:styleId="BodyText21">
    <w:name w:val="Body Text 21"/>
    <w:basedOn w:val="a"/>
    <w:qFormat/>
    <w:pPr>
      <w:jc w:val="both"/>
    </w:pPr>
    <w:rPr>
      <w:rFonts w:ascii="Times New Roman" w:hAnsi="Times New Roman" w:cs="Times New Roman"/>
      <w:szCs w:val="20"/>
      <w:lang w:val="ru-RU"/>
    </w:rPr>
  </w:style>
  <w:style w:type="paragraph" w:styleId="ac">
    <w:name w:val="annotation text"/>
    <w:basedOn w:val="a"/>
    <w:qFormat/>
    <w:pPr>
      <w:overflowPunct w:val="0"/>
      <w:autoSpaceDE w:val="0"/>
      <w:jc w:val="both"/>
      <w:textAlignment w:val="baseline"/>
    </w:pPr>
    <w:rPr>
      <w:rFonts w:ascii="Times New Roman" w:hAnsi="Times New Roman" w:cs="Times New Roman"/>
      <w:sz w:val="20"/>
      <w:szCs w:val="20"/>
      <w:lang w:val="ru-RU"/>
    </w:rPr>
  </w:style>
  <w:style w:type="paragraph" w:styleId="ad">
    <w:name w:val="Normal (Web)"/>
    <w:basedOn w:val="a"/>
    <w:qFormat/>
    <w:pPr>
      <w:spacing w:before="280" w:after="280"/>
    </w:pPr>
    <w:rPr>
      <w:rFonts w:ascii="Times New Roman" w:hAnsi="Times New Roman" w:cs="Times New Roman"/>
    </w:rPr>
  </w:style>
  <w:style w:type="paragraph" w:customStyle="1" w:styleId="FrameContents">
    <w:name w:val="Frame Contents"/>
    <w:basedOn w:val="a"/>
    <w:qFormat/>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character" w:customStyle="1" w:styleId="ezkurwreuab5ozgtqnkl">
    <w:name w:val="ezkurwreuab5ozgtqnkl"/>
    <w:basedOn w:val="a1"/>
    <w:qFormat/>
    <w:rsid w:val="001962C7"/>
  </w:style>
  <w:style w:type="character" w:styleId="ae">
    <w:name w:val="Strong"/>
    <w:uiPriority w:val="22"/>
    <w:qFormat/>
    <w:rsid w:val="00852E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1317</Words>
  <Characters>7507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Musaxanov Afzalxon</dc:creator>
  <cp:lastModifiedBy>Musaxanov Afzalxon</cp:lastModifiedBy>
  <cp:revision>2</cp:revision>
  <dcterms:created xsi:type="dcterms:W3CDTF">2026-10-20T13:54:00Z</dcterms:created>
  <dcterms:modified xsi:type="dcterms:W3CDTF">2026-10-20T13:54:00Z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2026-05-14T06:35:00Z</dcterms:created>
  <dc:creator>User</dc:creator>
  <dc:description/>
  <cp:keywords/>
  <dc:language>en-US</dc:language>
  <cp:lastModifiedBy>Musaxanov Afzalxon</cp:lastModifiedBy>
  <cp:lastPrinted>2024-02-23T19:42:00Z</cp:lastPrinted>
  <dcterms:modified xsi:type="dcterms:W3CDTF">2026-05-14T07:31:00Z</dcterms:modified>
  <cp:revision>6</cp:revision>
  <dc:subject/>
  <dc:title/>
</cp:coreProperties>
</file>