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_rels/footer1.xml.rels" ContentType="application/vnd.openxmlformats-package.relationships+xml"/>
  <Override PartName="/word/_rels/document.xml.rels" ContentType="application/vnd.openxmlformats-package.relationship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08"/>
          <w:tab w:val="left" w:pos="0" w:leader="none"/>
        </w:tabs>
        <w:suppressAutoHyphens w:val="true"/>
        <w:spacing w:lineRule="auto" w:line="240"/>
        <w:ind w:end="282"/>
        <w:jc w:val="center"/>
        <w:rPr>
          <w:rFonts w:ascii="Times New Roman" w:hAnsi="Times New Roman" w:cs="Times New Roman"/>
          <w:b/>
          <w:sz w:val="26"/>
          <w:szCs w:val="26"/>
          <w:lang w:val="en-US"/>
        </w:rPr>
      </w:pPr>
      <w:r>
        <w:rPr>
          <w:rFonts w:cs="Times New Roman" w:ascii="Times New Roman" w:hAnsi="Times New Roman"/>
          <w:b/>
          <w:sz w:val="26"/>
          <w:szCs w:val="26"/>
          <w:lang w:val="en-US"/>
        </w:rPr>
        <w:t xml:space="preserve">Bank omonati shartnomasi </w:t>
      </w:r>
      <w:r>
        <w:rPr>
          <w:rFonts w:cs="Times New Roman" w:ascii="Times New Roman" w:hAnsi="Times New Roman"/>
          <w:b/>
          <w:sz w:val="26"/>
          <w:szCs w:val="26"/>
          <w:lang w:val="uz-Cyrl-UZ"/>
        </w:rPr>
        <w:t xml:space="preserve">№ </w:t>
      </w:r>
      <w:r>
        <w:rPr>
          <w:rFonts w:cs="Times New Roman" w:ascii="Times New Roman" w:hAnsi="Times New Roman"/>
          <w:b/>
          <w:sz w:val="26"/>
          <w:szCs w:val="26"/>
          <w:lang w:val="en-US"/>
        </w:rPr>
        <w:t>______</w:t>
      </w:r>
    </w:p>
    <w:p>
      <w:pPr>
        <w:pStyle w:val="Normal"/>
        <w:tabs>
          <w:tab w:val="clear" w:pos="708"/>
          <w:tab w:val="left" w:pos="0" w:leader="none"/>
        </w:tabs>
        <w:suppressAutoHyphens w:val="true"/>
        <w:spacing w:lineRule="auto" w:line="240"/>
        <w:ind w:end="282"/>
        <w:jc w:val="center"/>
        <w:rPr>
          <w:rFonts w:ascii="Times New Roman" w:hAnsi="Times New Roman" w:cs="Times New Roman"/>
          <w:sz w:val="23"/>
          <w:szCs w:val="23"/>
          <w:lang w:val="uz-Cyrl-UZ"/>
        </w:rPr>
      </w:pPr>
      <w:r>
        <w:rPr>
          <w:rFonts w:eastAsia="Times New Roman" w:cs="Times New Roman" w:ascii="Times New Roman" w:hAnsi="Times New Roman"/>
          <w:sz w:val="23"/>
          <w:szCs w:val="23"/>
          <w:lang w:val="uz-Cyrl-UZ"/>
        </w:rPr>
        <w:t xml:space="preserve"> </w:t>
      </w:r>
      <w:r>
        <w:rPr>
          <w:rFonts w:cs="Times New Roman" w:ascii="Times New Roman" w:hAnsi="Times New Roman"/>
          <w:sz w:val="23"/>
          <w:szCs w:val="23"/>
          <w:lang w:val="uz-Cyrl-UZ"/>
        </w:rPr>
        <w:t>(_______________ omonat turi bo‘yicha)</w:t>
      </w:r>
      <w:r>
        <w:rPr>
          <w:rFonts w:cs="Times New Roman" w:ascii="Times New Roman" w:hAnsi="Times New Roman"/>
          <w:spacing w:val="-2"/>
          <w:sz w:val="23"/>
          <w:szCs w:val="23"/>
          <w:lang w:val="uz-Cyrl-UZ"/>
        </w:rPr>
        <w:t xml:space="preserve"> </w:t>
      </w:r>
      <w:r>
        <w:rPr>
          <w:rFonts w:cs="Times New Roman" w:ascii="Times New Roman" w:hAnsi="Times New Roman"/>
          <w:sz w:val="23"/>
          <w:szCs w:val="23"/>
          <w:lang w:val="uz-Cyrl-UZ"/>
        </w:rPr>
        <w:t xml:space="preserve"> </w:t>
      </w:r>
    </w:p>
    <w:tbl>
      <w:tblPr>
        <w:tblW w:w="9288" w:type="dxa"/>
        <w:jc w:val="start"/>
        <w:tblInd w:w="0" w:type="dxa"/>
        <w:tblLayout w:type="fixed"/>
        <w:tblCellMar>
          <w:top w:w="0" w:type="dxa"/>
          <w:start w:w="108" w:type="dxa"/>
          <w:bottom w:w="0" w:type="dxa"/>
          <w:end w:w="108" w:type="dxa"/>
        </w:tblCellMar>
      </w:tblPr>
      <w:tblGrid>
        <w:gridCol w:w="4644"/>
        <w:gridCol w:w="4644"/>
      </w:tblGrid>
      <w:tr>
        <w:trPr/>
        <w:tc>
          <w:tcPr>
            <w:tcW w:w="4644" w:type="dxa"/>
            <w:tcBorders/>
          </w:tcPr>
          <w:p>
            <w:pPr>
              <w:pStyle w:val="Normal"/>
              <w:tabs>
                <w:tab w:val="clear" w:pos="708"/>
                <w:tab w:val="left" w:pos="0" w:leader="none"/>
              </w:tabs>
              <w:suppressAutoHyphens w:val="true"/>
              <w:spacing w:lineRule="auto" w:line="240" w:before="0" w:after="200"/>
              <w:ind w:end="-15"/>
              <w:rPr>
                <w:rFonts w:ascii="Times New Roman" w:hAnsi="Times New Roman" w:cs="Times New Roman"/>
                <w:spacing w:val="-2"/>
                <w:sz w:val="23"/>
                <w:szCs w:val="23"/>
                <w:lang w:val="uz-Cyrl-UZ" w:eastAsia="uz-Cyrl-UZ"/>
              </w:rPr>
            </w:pPr>
            <w:r>
              <w:rPr>
                <w:rFonts w:cs="Times New Roman" w:ascii="Times New Roman" w:hAnsi="Times New Roman"/>
                <w:color w:val="000000"/>
                <w:sz w:val="23"/>
                <w:szCs w:val="23"/>
                <w:lang w:val="en-US"/>
              </w:rPr>
              <w:t>“___”_________</w:t>
            </w:r>
            <w:r>
              <w:rPr>
                <w:rFonts w:cs="Times New Roman" w:ascii="Times New Roman" w:hAnsi="Times New Roman"/>
                <w:color w:val="000000"/>
                <w:sz w:val="23"/>
                <w:szCs w:val="23"/>
                <w:lang w:val="uz-Cyrl-UZ"/>
              </w:rPr>
              <w:t xml:space="preserve"> </w:t>
            </w:r>
            <w:r>
              <w:rPr>
                <w:rFonts w:cs="Times New Roman" w:ascii="Times New Roman" w:hAnsi="Times New Roman"/>
                <w:sz w:val="23"/>
                <w:szCs w:val="23"/>
                <w:lang w:val="uz-Cyrl-UZ"/>
              </w:rPr>
              <w:t xml:space="preserve"> </w:t>
            </w:r>
          </w:p>
        </w:tc>
        <w:tc>
          <w:tcPr>
            <w:tcW w:w="4644" w:type="dxa"/>
            <w:tcBorders/>
          </w:tcPr>
          <w:p>
            <w:pPr>
              <w:pStyle w:val="Normal"/>
              <w:tabs>
                <w:tab w:val="clear" w:pos="708"/>
                <w:tab w:val="left" w:pos="0" w:leader="none"/>
              </w:tabs>
              <w:suppressAutoHyphens w:val="true"/>
              <w:spacing w:lineRule="auto" w:line="240" w:before="0" w:after="200"/>
              <w:ind w:end="-15"/>
              <w:jc w:val="end"/>
              <w:rPr>
                <w:rFonts w:ascii="Times New Roman" w:hAnsi="Times New Roman" w:cs="Times New Roman"/>
                <w:spacing w:val="-2"/>
                <w:sz w:val="23"/>
                <w:szCs w:val="23"/>
                <w:lang w:val="en-US" w:eastAsia="uz-Cyrl-UZ"/>
              </w:rPr>
            </w:pPr>
            <w:r>
              <w:rPr>
                <w:rFonts w:cs="Times New Roman" w:ascii="Times New Roman" w:hAnsi="Times New Roman"/>
                <w:color w:val="000000"/>
                <w:sz w:val="23"/>
                <w:szCs w:val="23"/>
                <w:lang w:val="en-US"/>
              </w:rPr>
              <w:t>_______________</w:t>
            </w:r>
          </w:p>
        </w:tc>
      </w:tr>
    </w:tbl>
    <w:p>
      <w:pPr>
        <w:pStyle w:val="Normal"/>
        <w:shd w:fill="FFFFFF" w:val="clear"/>
        <w:tabs>
          <w:tab w:val="clear" w:pos="708"/>
          <w:tab w:val="left" w:pos="0" w:leader="none"/>
        </w:tabs>
        <w:suppressAutoHyphens w:val="true"/>
        <w:spacing w:lineRule="auto" w:line="240" w:before="0" w:after="0"/>
        <w:jc w:val="both"/>
        <w:rPr>
          <w:rFonts w:ascii="Times New Roman" w:hAnsi="Times New Roman" w:cs="Times New Roman"/>
          <w:spacing w:val="-2"/>
          <w:sz w:val="23"/>
          <w:szCs w:val="23"/>
          <w:lang w:val="uz-Cyrl-UZ"/>
        </w:rPr>
      </w:pPr>
      <w:r>
        <w:rPr>
          <w:rFonts w:cs="Times New Roman" w:ascii="Times New Roman" w:hAnsi="Times New Roman"/>
          <w:spacing w:val="-2"/>
          <w:sz w:val="26"/>
          <w:szCs w:val="26"/>
          <w:lang w:val="uz-Cyrl-UZ"/>
        </w:rPr>
        <w:tab/>
      </w:r>
      <w:r>
        <w:rPr>
          <w:rFonts w:cs="Times New Roman" w:ascii="Times New Roman" w:hAnsi="Times New Roman"/>
          <w:spacing w:val="-2"/>
          <w:sz w:val="23"/>
          <w:szCs w:val="23"/>
          <w:lang w:val="uz-Cyrl-UZ"/>
        </w:rPr>
        <w:t xml:space="preserve">“Biznesni rivojlantirish banki” ATB nomidan </w:t>
      </w:r>
      <w:r>
        <w:rPr>
          <w:rFonts w:cs="Times New Roman" w:ascii="Times New Roman" w:hAnsi="Times New Roman"/>
          <w:sz w:val="23"/>
          <w:szCs w:val="23"/>
          <w:lang w:val="uz-Latn-UZ"/>
        </w:rPr>
        <w:t>_________________________________</w:t>
      </w:r>
      <w:r>
        <w:rPr>
          <w:rFonts w:cs="Times New Roman" w:ascii="Times New Roman" w:hAnsi="Times New Roman"/>
          <w:spacing w:val="-2"/>
          <w:sz w:val="23"/>
          <w:szCs w:val="23"/>
          <w:lang w:val="uz-Cyrl-UZ"/>
        </w:rPr>
        <w:t xml:space="preserve"> Nizomi hamda “</w:t>
      </w:r>
      <w:r>
        <w:rPr>
          <w:rFonts w:cs="Times New Roman" w:ascii="Times New Roman" w:hAnsi="Times New Roman"/>
          <w:sz w:val="23"/>
          <w:szCs w:val="23"/>
          <w:lang w:val="uz-Latn-UZ"/>
        </w:rPr>
        <w:t xml:space="preserve">__” _______ 202__ yil </w:t>
      </w:r>
      <w:r>
        <w:rPr>
          <w:rFonts w:cs="Times New Roman" w:ascii="Times New Roman" w:hAnsi="Times New Roman"/>
          <w:spacing w:val="-2"/>
          <w:sz w:val="23"/>
          <w:szCs w:val="23"/>
          <w:lang w:val="uz-Cyrl-UZ"/>
        </w:rPr>
        <w:t xml:space="preserve">dagi </w:t>
      </w:r>
      <w:r>
        <w:rPr>
          <w:rFonts w:cs="Times New Roman" w:ascii="Times New Roman" w:hAnsi="Times New Roman"/>
          <w:sz w:val="23"/>
          <w:szCs w:val="23"/>
          <w:lang w:val="uz-Latn-UZ"/>
        </w:rPr>
        <w:t>№___</w:t>
      </w:r>
      <w:r>
        <w:rPr>
          <w:rFonts w:cs="Times New Roman" w:ascii="Times New Roman" w:hAnsi="Times New Roman"/>
          <w:spacing w:val="-2"/>
          <w:sz w:val="23"/>
          <w:szCs w:val="23"/>
          <w:lang w:val="uz-Cyrl-UZ"/>
        </w:rPr>
        <w:t xml:space="preserve">-sonli Bosh ishonchnoma asosida harakat qiluvchi </w:t>
      </w:r>
      <w:r>
        <w:rPr>
          <w:rFonts w:cs="Times New Roman" w:ascii="Times New Roman" w:hAnsi="Times New Roman"/>
          <w:sz w:val="23"/>
          <w:szCs w:val="23"/>
          <w:lang w:val="uz-Latn-UZ"/>
        </w:rPr>
        <w:t>_______________</w:t>
      </w:r>
      <w:r>
        <w:rPr>
          <w:rFonts w:cs="Times New Roman" w:ascii="Times New Roman" w:hAnsi="Times New Roman"/>
          <w:spacing w:val="-2"/>
          <w:sz w:val="23"/>
          <w:szCs w:val="23"/>
          <w:lang w:val="uz-Cyrl-UZ"/>
        </w:rPr>
        <w:t xml:space="preserve"> (keyingi matnlarda “Bank” deb ataluvchi) bir tomondan va fuqaro </w:t>
      </w:r>
      <w:r>
        <w:rPr>
          <w:rFonts w:cs="Times New Roman" w:ascii="Times New Roman" w:hAnsi="Times New Roman"/>
          <w:sz w:val="23"/>
          <w:szCs w:val="23"/>
          <w:lang w:val="uz-Latn-UZ"/>
        </w:rPr>
        <w:t>___________________________</w:t>
      </w:r>
      <w:r>
        <w:rPr>
          <w:rFonts w:cs="Times New Roman" w:ascii="Times New Roman" w:hAnsi="Times New Roman"/>
          <w:sz w:val="23"/>
          <w:szCs w:val="23"/>
          <w:lang w:val="uz-Cyrl-UZ"/>
        </w:rPr>
        <w:t xml:space="preserve"> </w:t>
      </w:r>
      <w:r>
        <w:rPr>
          <w:rFonts w:cs="Times New Roman" w:ascii="Times New Roman" w:hAnsi="Times New Roman"/>
          <w:spacing w:val="-2"/>
          <w:sz w:val="23"/>
          <w:szCs w:val="23"/>
          <w:lang w:val="uz-Cyrl-UZ"/>
        </w:rPr>
        <w:t>(keyingi matnlarda “Omonatchi” deb ataluvchi) ikkinchi tomondan ushbu shartnomani quyidagilar to‘g‘risida tuzdilar:</w:t>
      </w:r>
    </w:p>
    <w:p>
      <w:pPr>
        <w:pStyle w:val="Normal"/>
        <w:shd w:fill="FFFFFF" w:val="clear"/>
        <w:tabs>
          <w:tab w:val="clear" w:pos="708"/>
          <w:tab w:val="left" w:pos="0" w:leader="none"/>
        </w:tabs>
        <w:suppressAutoHyphens w:val="true"/>
        <w:spacing w:lineRule="auto" w:line="240" w:before="0" w:after="0"/>
        <w:jc w:val="both"/>
        <w:rPr>
          <w:rFonts w:ascii="Times New Roman" w:hAnsi="Times New Roman" w:cs="Times New Roman"/>
          <w:b/>
          <w:bCs/>
          <w:spacing w:val="-2"/>
          <w:sz w:val="23"/>
          <w:szCs w:val="23"/>
          <w:lang w:val="uz-Cyrl-UZ"/>
        </w:rPr>
      </w:pPr>
      <w:r>
        <w:rPr>
          <w:rFonts w:eastAsia="Times New Roman" w:cs="Times New Roman" w:ascii="Times New Roman" w:hAnsi="Times New Roman"/>
          <w:b/>
          <w:bCs/>
          <w:spacing w:val="-2"/>
          <w:sz w:val="23"/>
          <w:szCs w:val="23"/>
          <w:lang w:val="uz-Cyrl-UZ"/>
        </w:rPr>
        <w:t xml:space="preserve">                                                                  </w:t>
      </w:r>
      <w:r>
        <w:rPr>
          <w:rFonts w:cs="Times New Roman" w:ascii="Times New Roman" w:hAnsi="Times New Roman"/>
          <w:b/>
          <w:bCs/>
          <w:spacing w:val="-2"/>
          <w:sz w:val="23"/>
          <w:szCs w:val="23"/>
          <w:lang w:val="uz-Cyrl-UZ"/>
        </w:rPr>
        <w:t>I Shartnoma predmeti.</w:t>
      </w:r>
    </w:p>
    <w:tbl>
      <w:tblPr>
        <w:tblW w:w="9923" w:type="dxa"/>
        <w:jc w:val="start"/>
        <w:tblInd w:w="-5" w:type="dxa"/>
        <w:tblLayout w:type="fixed"/>
        <w:tblCellMar>
          <w:top w:w="0" w:type="dxa"/>
          <w:start w:w="108" w:type="dxa"/>
          <w:bottom w:w="0" w:type="dxa"/>
          <w:end w:w="108" w:type="dxa"/>
        </w:tblCellMar>
      </w:tblPr>
      <w:tblGrid>
        <w:gridCol w:w="4820"/>
        <w:gridCol w:w="5103"/>
      </w:tblGrid>
      <w:tr>
        <w:trPr/>
        <w:tc>
          <w:tcPr>
            <w:tcW w:w="4820" w:type="dxa"/>
            <w:tcBorders>
              <w:top w:val="single" w:sz="4" w:space="0" w:color="000000"/>
              <w:start w:val="single" w:sz="4" w:space="0" w:color="000000"/>
              <w:bottom w:val="single" w:sz="4" w:space="0" w:color="000000"/>
              <w:end w:val="single" w:sz="4" w:space="0" w:color="000000"/>
            </w:tcBorders>
            <w:vAlign w:val="center"/>
          </w:tcPr>
          <w:p>
            <w:pPr>
              <w:pStyle w:val="Style21"/>
              <w:shd w:fill="FFFFFF" w:val="clear"/>
              <w:tabs>
                <w:tab w:val="clear" w:pos="708"/>
                <w:tab w:val="left" w:pos="3969" w:leader="none"/>
              </w:tabs>
              <w:spacing w:lineRule="auto" w:line="288" w:before="0" w:after="0"/>
              <w:rPr>
                <w:rFonts w:eastAsia="Calibri"/>
                <w:spacing w:val="-2"/>
                <w:sz w:val="23"/>
                <w:szCs w:val="23"/>
                <w:lang w:val="uz-Cyrl-UZ" w:eastAsia="en-US"/>
              </w:rPr>
            </w:pPr>
            <w:r>
              <w:rPr>
                <w:rFonts w:eastAsia="Calibri"/>
                <w:spacing w:val="-2"/>
                <w:sz w:val="23"/>
                <w:szCs w:val="23"/>
                <w:lang w:val="uz-Cyrl-UZ" w:eastAsia="en-US"/>
              </w:rPr>
              <w:t>1. Omonat turining nomi</w:t>
            </w:r>
          </w:p>
        </w:tc>
        <w:tc>
          <w:tcPr>
            <w:tcW w:w="5103" w:type="dxa"/>
            <w:tcBorders>
              <w:top w:val="single" w:sz="4" w:space="0" w:color="000000"/>
              <w:start w:val="single" w:sz="4" w:space="0" w:color="000000"/>
              <w:bottom w:val="single" w:sz="4" w:space="0" w:color="000000"/>
              <w:end w:val="single" w:sz="4" w:space="0" w:color="000000"/>
            </w:tcBorders>
            <w:vAlign w:val="center"/>
          </w:tcPr>
          <w:p>
            <w:pPr>
              <w:pStyle w:val="Style21"/>
              <w:shd w:fill="FFFFFF" w:val="clear"/>
              <w:tabs>
                <w:tab w:val="clear" w:pos="708"/>
                <w:tab w:val="left" w:pos="3969" w:leader="none"/>
              </w:tabs>
              <w:spacing w:lineRule="auto" w:line="288" w:before="0" w:after="0"/>
              <w:rPr>
                <w:rFonts w:eastAsia="Calibri"/>
                <w:spacing w:val="-2"/>
                <w:sz w:val="23"/>
                <w:szCs w:val="23"/>
                <w:lang w:val="uz-Cyrl-UZ" w:eastAsia="en-US"/>
              </w:rPr>
            </w:pPr>
            <w:r>
              <w:rPr>
                <w:rFonts w:eastAsia="Calibri"/>
                <w:spacing w:val="-2"/>
                <w:sz w:val="23"/>
                <w:szCs w:val="23"/>
                <w:lang w:val="uz-Cyrl-UZ" w:eastAsia="en-US"/>
              </w:rPr>
              <w:t>“</w:t>
            </w:r>
            <w:r>
              <w:rPr>
                <w:rFonts w:eastAsia="Calibri"/>
                <w:spacing w:val="-2"/>
                <w:sz w:val="23"/>
                <w:szCs w:val="23"/>
                <w:lang w:val="en-US" w:eastAsia="en-US"/>
              </w:rPr>
              <w:t>Orzu</w:t>
            </w:r>
            <w:r>
              <w:rPr>
                <w:rFonts w:eastAsia="Calibri"/>
                <w:spacing w:val="-2"/>
                <w:sz w:val="23"/>
                <w:szCs w:val="23"/>
                <w:lang w:val="uz-Cyrl-UZ" w:eastAsia="en-US"/>
              </w:rPr>
              <w:t>” omonati</w:t>
            </w:r>
          </w:p>
        </w:tc>
      </w:tr>
      <w:tr>
        <w:trPr/>
        <w:tc>
          <w:tcPr>
            <w:tcW w:w="4820" w:type="dxa"/>
            <w:tcBorders>
              <w:top w:val="single" w:sz="4" w:space="0" w:color="000000"/>
              <w:start w:val="single" w:sz="4" w:space="0" w:color="000000"/>
              <w:bottom w:val="single" w:sz="4" w:space="0" w:color="000000"/>
              <w:end w:val="single" w:sz="4" w:space="0" w:color="000000"/>
            </w:tcBorders>
            <w:vAlign w:val="center"/>
          </w:tcPr>
          <w:p>
            <w:pPr>
              <w:pStyle w:val="Style21"/>
              <w:shd w:fill="FFFFFF" w:val="clear"/>
              <w:tabs>
                <w:tab w:val="clear" w:pos="708"/>
                <w:tab w:val="left" w:pos="3969" w:leader="none"/>
              </w:tabs>
              <w:spacing w:lineRule="auto" w:line="288" w:before="0" w:after="0"/>
              <w:jc w:val="both"/>
              <w:rPr>
                <w:rFonts w:eastAsia="Calibri"/>
                <w:spacing w:val="-2"/>
                <w:sz w:val="23"/>
                <w:szCs w:val="23"/>
                <w:lang w:val="uz-Cyrl-UZ" w:eastAsia="en-US"/>
              </w:rPr>
            </w:pPr>
            <w:r>
              <w:rPr>
                <w:rFonts w:eastAsia="Calibri"/>
                <w:spacing w:val="-2"/>
                <w:sz w:val="23"/>
                <w:szCs w:val="23"/>
                <w:lang w:val="uz-Cyrl-UZ" w:eastAsia="en-US"/>
              </w:rPr>
              <w:t>2. Omonat joylashtiriladigan valyuta</w:t>
            </w:r>
          </w:p>
        </w:tc>
        <w:tc>
          <w:tcPr>
            <w:tcW w:w="5103" w:type="dxa"/>
            <w:tcBorders>
              <w:top w:val="single" w:sz="4" w:space="0" w:color="000000"/>
              <w:start w:val="single" w:sz="4" w:space="0" w:color="000000"/>
              <w:bottom w:val="single" w:sz="4" w:space="0" w:color="000000"/>
              <w:end w:val="single" w:sz="4" w:space="0" w:color="000000"/>
            </w:tcBorders>
            <w:vAlign w:val="center"/>
          </w:tcPr>
          <w:p>
            <w:pPr>
              <w:pStyle w:val="Style21"/>
              <w:shd w:fill="FFFFFF" w:val="clear"/>
              <w:tabs>
                <w:tab w:val="clear" w:pos="708"/>
                <w:tab w:val="left" w:pos="3969" w:leader="none"/>
              </w:tabs>
              <w:spacing w:lineRule="auto" w:line="288" w:before="0" w:after="0"/>
              <w:rPr>
                <w:rFonts w:eastAsia="Calibri"/>
                <w:spacing w:val="-2"/>
                <w:sz w:val="23"/>
                <w:szCs w:val="23"/>
                <w:lang w:val="uz-Cyrl-UZ" w:eastAsia="en-US"/>
              </w:rPr>
            </w:pPr>
            <w:r>
              <w:rPr>
                <w:rFonts w:eastAsia="Calibri"/>
                <w:spacing w:val="-2"/>
                <w:sz w:val="23"/>
                <w:szCs w:val="23"/>
                <w:lang w:val="uz-Cyrl-UZ" w:eastAsia="en-US"/>
              </w:rPr>
              <w:t>Milliy valyutada</w:t>
            </w:r>
          </w:p>
        </w:tc>
      </w:tr>
      <w:tr>
        <w:trPr/>
        <w:tc>
          <w:tcPr>
            <w:tcW w:w="4820" w:type="dxa"/>
            <w:tcBorders>
              <w:top w:val="single" w:sz="4" w:space="0" w:color="000000"/>
              <w:start w:val="single" w:sz="4" w:space="0" w:color="000000"/>
              <w:bottom w:val="single" w:sz="4" w:space="0" w:color="000000"/>
              <w:end w:val="single" w:sz="4" w:space="0" w:color="000000"/>
            </w:tcBorders>
            <w:vAlign w:val="center"/>
          </w:tcPr>
          <w:p>
            <w:pPr>
              <w:pStyle w:val="Style21"/>
              <w:shd w:fill="FFFFFF" w:val="clear"/>
              <w:tabs>
                <w:tab w:val="clear" w:pos="708"/>
                <w:tab w:val="left" w:pos="3969" w:leader="none"/>
              </w:tabs>
              <w:spacing w:lineRule="auto" w:line="288" w:before="0" w:after="0"/>
              <w:jc w:val="both"/>
              <w:rPr>
                <w:rFonts w:eastAsia="Calibri"/>
                <w:spacing w:val="-2"/>
                <w:sz w:val="23"/>
                <w:szCs w:val="23"/>
                <w:lang w:val="uz-Cyrl-UZ" w:eastAsia="en-US"/>
              </w:rPr>
            </w:pPr>
            <w:r>
              <w:rPr>
                <w:rFonts w:eastAsia="Calibri"/>
                <w:spacing w:val="-2"/>
                <w:sz w:val="23"/>
                <w:szCs w:val="23"/>
                <w:lang w:val="uz-Cyrl-UZ" w:eastAsia="en-US"/>
              </w:rPr>
              <w:t>3.Omonatga mablag‘ qabul qilishning eng kam miqdori</w:t>
            </w:r>
          </w:p>
        </w:tc>
        <w:tc>
          <w:tcPr>
            <w:tcW w:w="5103" w:type="dxa"/>
            <w:tcBorders>
              <w:top w:val="single" w:sz="4" w:space="0" w:color="000000"/>
              <w:start w:val="single" w:sz="4" w:space="0" w:color="000000"/>
              <w:bottom w:val="single" w:sz="4" w:space="0" w:color="000000"/>
              <w:end w:val="single" w:sz="4" w:space="0" w:color="000000"/>
            </w:tcBorders>
            <w:vAlign w:val="center"/>
          </w:tcPr>
          <w:p>
            <w:pPr>
              <w:pStyle w:val="Style21"/>
              <w:shd w:fill="FFFFFF" w:val="clear"/>
              <w:tabs>
                <w:tab w:val="clear" w:pos="708"/>
                <w:tab w:val="left" w:pos="3969" w:leader="none"/>
              </w:tabs>
              <w:spacing w:lineRule="auto" w:line="288" w:before="0" w:after="0"/>
              <w:rPr>
                <w:rFonts w:eastAsia="Calibri"/>
                <w:spacing w:val="-2"/>
                <w:sz w:val="23"/>
                <w:szCs w:val="23"/>
                <w:lang w:val="uz-Cyrl-UZ" w:eastAsia="en-US"/>
              </w:rPr>
            </w:pPr>
            <w:r>
              <w:rPr>
                <w:rFonts w:eastAsia="Calibri"/>
                <w:spacing w:val="-2"/>
                <w:sz w:val="23"/>
                <w:szCs w:val="23"/>
                <w:lang w:val="en-US" w:eastAsia="en-US"/>
              </w:rPr>
              <w:t>1</w:t>
            </w:r>
            <w:r>
              <w:rPr>
                <w:rFonts w:eastAsia="Calibri"/>
                <w:spacing w:val="-2"/>
                <w:sz w:val="23"/>
                <w:szCs w:val="23"/>
                <w:lang w:val="uz-Cyrl-UZ" w:eastAsia="en-US"/>
              </w:rPr>
              <w:t xml:space="preserve"> 000 000 (b</w:t>
            </w:r>
            <w:r>
              <w:rPr>
                <w:rFonts w:eastAsia="Calibri"/>
                <w:spacing w:val="-2"/>
                <w:sz w:val="23"/>
                <w:szCs w:val="23"/>
                <w:lang w:val="en-US" w:eastAsia="en-US"/>
              </w:rPr>
              <w:t>ir</w:t>
            </w:r>
            <w:r>
              <w:rPr>
                <w:rFonts w:eastAsia="Calibri"/>
                <w:spacing w:val="-2"/>
                <w:sz w:val="23"/>
                <w:szCs w:val="23"/>
                <w:lang w:val="uz-Cyrl-UZ" w:eastAsia="en-US"/>
              </w:rPr>
              <w:t xml:space="preserve"> million) so</w:t>
            </w:r>
            <w:r>
              <w:rPr>
                <w:rFonts w:eastAsia="Calibri"/>
                <w:spacing w:val="-2"/>
                <w:sz w:val="23"/>
                <w:szCs w:val="23"/>
                <w:lang w:val="en-US" w:eastAsia="en-US"/>
              </w:rPr>
              <w:t>‘</w:t>
            </w:r>
            <w:r>
              <w:rPr>
                <w:rFonts w:eastAsia="Calibri"/>
                <w:spacing w:val="-2"/>
                <w:sz w:val="23"/>
                <w:szCs w:val="23"/>
                <w:lang w:val="uz-Cyrl-UZ" w:eastAsia="en-US"/>
              </w:rPr>
              <w:t>m</w:t>
            </w:r>
          </w:p>
        </w:tc>
      </w:tr>
      <w:tr>
        <w:trPr/>
        <w:tc>
          <w:tcPr>
            <w:tcW w:w="4820" w:type="dxa"/>
            <w:tcBorders>
              <w:top w:val="single" w:sz="4" w:space="0" w:color="000000"/>
              <w:start w:val="single" w:sz="4" w:space="0" w:color="000000"/>
              <w:bottom w:val="single" w:sz="4" w:space="0" w:color="000000"/>
              <w:end w:val="single" w:sz="4" w:space="0" w:color="000000"/>
            </w:tcBorders>
            <w:vAlign w:val="center"/>
          </w:tcPr>
          <w:p>
            <w:pPr>
              <w:pStyle w:val="Style21"/>
              <w:shd w:fill="FFFFFF" w:val="clear"/>
              <w:tabs>
                <w:tab w:val="clear" w:pos="708"/>
                <w:tab w:val="left" w:pos="3969" w:leader="none"/>
              </w:tabs>
              <w:spacing w:lineRule="auto" w:line="288" w:before="0" w:after="0"/>
              <w:jc w:val="both"/>
              <w:rPr>
                <w:rFonts w:eastAsia="Calibri"/>
                <w:spacing w:val="-2"/>
                <w:sz w:val="23"/>
                <w:szCs w:val="23"/>
                <w:lang w:val="uz-Cyrl-UZ" w:eastAsia="en-US"/>
              </w:rPr>
            </w:pPr>
            <w:r>
              <w:rPr>
                <w:rFonts w:eastAsia="Calibri"/>
                <w:spacing w:val="-2"/>
                <w:sz w:val="23"/>
                <w:szCs w:val="23"/>
                <w:lang w:val="uz-Cyrl-UZ" w:eastAsia="en-US"/>
              </w:rPr>
              <w:t>4.Omonatga mablag‘ qabul qilishning eng yuqori miqdori</w:t>
            </w:r>
          </w:p>
        </w:tc>
        <w:tc>
          <w:tcPr>
            <w:tcW w:w="5103" w:type="dxa"/>
            <w:tcBorders>
              <w:top w:val="single" w:sz="4" w:space="0" w:color="000000"/>
              <w:start w:val="single" w:sz="4" w:space="0" w:color="000000"/>
              <w:bottom w:val="single" w:sz="4" w:space="0" w:color="000000"/>
              <w:end w:val="single" w:sz="4" w:space="0" w:color="000000"/>
            </w:tcBorders>
            <w:vAlign w:val="center"/>
          </w:tcPr>
          <w:p>
            <w:pPr>
              <w:pStyle w:val="Style21"/>
              <w:shd w:fill="FFFFFF" w:val="clear"/>
              <w:tabs>
                <w:tab w:val="clear" w:pos="708"/>
                <w:tab w:val="left" w:pos="3969" w:leader="none"/>
              </w:tabs>
              <w:spacing w:lineRule="auto" w:line="288" w:before="0" w:after="0"/>
              <w:rPr>
                <w:rFonts w:eastAsia="Calibri"/>
                <w:spacing w:val="-2"/>
                <w:sz w:val="23"/>
                <w:szCs w:val="23"/>
                <w:lang w:val="uz-Cyrl-UZ" w:eastAsia="en-US"/>
              </w:rPr>
            </w:pPr>
            <w:r>
              <w:rPr>
                <w:rFonts w:eastAsia="Calibri"/>
                <w:spacing w:val="-2"/>
                <w:sz w:val="23"/>
                <w:szCs w:val="23"/>
                <w:lang w:val="uz-Cyrl-UZ" w:eastAsia="en-US"/>
              </w:rPr>
              <w:t>Cheklovlarsiz</w:t>
            </w:r>
          </w:p>
        </w:tc>
      </w:tr>
      <w:tr>
        <w:trPr/>
        <w:tc>
          <w:tcPr>
            <w:tcW w:w="4820" w:type="dxa"/>
            <w:tcBorders>
              <w:top w:val="single" w:sz="4" w:space="0" w:color="000000"/>
              <w:start w:val="single" w:sz="4" w:space="0" w:color="000000"/>
              <w:bottom w:val="single" w:sz="4" w:space="0" w:color="000000"/>
              <w:end w:val="single" w:sz="4" w:space="0" w:color="000000"/>
            </w:tcBorders>
            <w:vAlign w:val="center"/>
          </w:tcPr>
          <w:p>
            <w:pPr>
              <w:pStyle w:val="Style21"/>
              <w:shd w:fill="FFFFFF" w:val="clear"/>
              <w:tabs>
                <w:tab w:val="clear" w:pos="708"/>
                <w:tab w:val="left" w:pos="3969" w:leader="none"/>
              </w:tabs>
              <w:spacing w:lineRule="auto" w:line="288" w:before="0" w:after="0"/>
              <w:jc w:val="both"/>
              <w:rPr>
                <w:rFonts w:eastAsia="Calibri"/>
                <w:spacing w:val="-2"/>
                <w:sz w:val="23"/>
                <w:szCs w:val="23"/>
                <w:lang w:val="uz-Cyrl-UZ" w:eastAsia="en-US"/>
              </w:rPr>
            </w:pPr>
            <w:r>
              <w:rPr>
                <w:rFonts w:eastAsia="Calibri"/>
                <w:spacing w:val="-2"/>
                <w:sz w:val="23"/>
                <w:szCs w:val="23"/>
                <w:lang w:val="uz-Cyrl-UZ" w:eastAsia="en-US"/>
              </w:rPr>
              <w:t>5.Omonatning yillik foiz to‘lovi</w:t>
              <w:tab/>
            </w:r>
          </w:p>
        </w:tc>
        <w:tc>
          <w:tcPr>
            <w:tcW w:w="5103" w:type="dxa"/>
            <w:tcBorders>
              <w:top w:val="single" w:sz="4" w:space="0" w:color="000000"/>
              <w:start w:val="single" w:sz="4" w:space="0" w:color="000000"/>
              <w:bottom w:val="single" w:sz="4" w:space="0" w:color="000000"/>
              <w:end w:val="single" w:sz="4" w:space="0" w:color="000000"/>
            </w:tcBorders>
            <w:vAlign w:val="center"/>
          </w:tcPr>
          <w:p>
            <w:pPr>
              <w:pStyle w:val="Style21"/>
              <w:shd w:fill="FFFFFF" w:val="clear"/>
              <w:tabs>
                <w:tab w:val="clear" w:pos="708"/>
                <w:tab w:val="left" w:pos="3969" w:leader="none"/>
              </w:tabs>
              <w:spacing w:lineRule="auto" w:line="288" w:before="0" w:after="0"/>
              <w:jc w:val="both"/>
              <w:rPr>
                <w:rFonts w:eastAsia="Calibri"/>
                <w:spacing w:val="-2"/>
                <w:sz w:val="23"/>
                <w:szCs w:val="23"/>
                <w:lang w:val="uz-Cyrl-UZ" w:eastAsia="en-US"/>
              </w:rPr>
            </w:pPr>
            <w:r>
              <w:rPr>
                <w:rFonts w:eastAsia="Calibri"/>
                <w:spacing w:val="-2"/>
                <w:sz w:val="23"/>
                <w:szCs w:val="23"/>
                <w:lang w:val="uz-Cyrl-UZ" w:eastAsia="en-US"/>
              </w:rPr>
              <w:t>Bank ofislarida</w:t>
            </w:r>
            <w:r>
              <w:rPr>
                <w:rFonts w:eastAsia="Calibri"/>
                <w:spacing w:val="-2"/>
                <w:sz w:val="23"/>
                <w:szCs w:val="23"/>
                <w:lang w:val="en-US" w:eastAsia="en-US"/>
              </w:rPr>
              <w:t xml:space="preserve"> yillik</w:t>
            </w:r>
            <w:r>
              <w:rPr>
                <w:rFonts w:eastAsia="Calibri"/>
                <w:spacing w:val="-2"/>
                <w:sz w:val="23"/>
                <w:szCs w:val="23"/>
                <w:lang w:val="uz-Cyrl-UZ" w:eastAsia="en-US"/>
              </w:rPr>
              <w:t xml:space="preserve"> (offlayn) - </w:t>
            </w:r>
            <w:r>
              <w:rPr>
                <w:rFonts w:eastAsia="Calibri"/>
                <w:spacing w:val="-2"/>
                <w:sz w:val="23"/>
                <w:szCs w:val="23"/>
                <w:lang w:val="en-US" w:eastAsia="en-US"/>
              </w:rPr>
              <w:t>1</w:t>
            </w:r>
            <w:r>
              <w:rPr>
                <w:rFonts w:eastAsia="Calibri"/>
                <w:spacing w:val="-2"/>
                <w:sz w:val="23"/>
                <w:szCs w:val="23"/>
                <w:lang w:val="uz-Cyrl-UZ" w:eastAsia="en-US"/>
              </w:rPr>
              <w:t>5%</w:t>
            </w:r>
          </w:p>
          <w:p>
            <w:pPr>
              <w:pStyle w:val="Style21"/>
              <w:shd w:fill="FFFFFF" w:val="clear"/>
              <w:tabs>
                <w:tab w:val="clear" w:pos="708"/>
                <w:tab w:val="left" w:pos="3969" w:leader="none"/>
              </w:tabs>
              <w:spacing w:lineRule="auto" w:line="288" w:before="0" w:after="0"/>
              <w:jc w:val="both"/>
              <w:rPr>
                <w:rFonts w:eastAsia="Calibri"/>
                <w:spacing w:val="-2"/>
                <w:sz w:val="23"/>
                <w:szCs w:val="23"/>
                <w:lang w:val="uz-Cyrl-UZ" w:eastAsia="en-US"/>
              </w:rPr>
            </w:pPr>
            <w:r>
              <w:rPr>
                <w:rFonts w:eastAsia="Calibri"/>
                <w:spacing w:val="-2"/>
                <w:sz w:val="23"/>
                <w:szCs w:val="23"/>
                <w:lang w:val="en-US" w:eastAsia="en-US"/>
              </w:rPr>
              <w:t>Bank mobil ilovasi orqali yillik – 1</w:t>
            </w:r>
            <w:r>
              <w:rPr>
                <w:rFonts w:eastAsia="Calibri"/>
                <w:spacing w:val="-2"/>
                <w:sz w:val="23"/>
                <w:szCs w:val="23"/>
                <w:lang w:val="uz-Cyrl-UZ" w:eastAsia="en-US"/>
              </w:rPr>
              <w:t>5</w:t>
            </w:r>
            <w:r>
              <w:rPr>
                <w:rFonts w:eastAsia="Calibri"/>
                <w:spacing w:val="-2"/>
                <w:sz w:val="23"/>
                <w:szCs w:val="23"/>
                <w:lang w:val="en-US" w:eastAsia="en-US"/>
              </w:rPr>
              <w:t xml:space="preserve"> %</w:t>
            </w:r>
            <w:r>
              <w:rPr>
                <w:rFonts w:eastAsia="Calibri"/>
                <w:spacing w:val="-2"/>
                <w:sz w:val="23"/>
                <w:szCs w:val="23"/>
                <w:lang w:val="uz-Cyrl-UZ" w:eastAsia="en-US"/>
              </w:rPr>
              <w:t xml:space="preserve"> </w:t>
            </w:r>
          </w:p>
        </w:tc>
      </w:tr>
      <w:tr>
        <w:trPr/>
        <w:tc>
          <w:tcPr>
            <w:tcW w:w="4820" w:type="dxa"/>
            <w:tcBorders>
              <w:top w:val="single" w:sz="4" w:space="0" w:color="000000"/>
              <w:start w:val="single" w:sz="4" w:space="0" w:color="000000"/>
              <w:bottom w:val="single" w:sz="4" w:space="0" w:color="000000"/>
              <w:end w:val="single" w:sz="4" w:space="0" w:color="000000"/>
            </w:tcBorders>
            <w:vAlign w:val="center"/>
          </w:tcPr>
          <w:p>
            <w:pPr>
              <w:pStyle w:val="Style21"/>
              <w:shd w:fill="FFFFFF" w:val="clear"/>
              <w:tabs>
                <w:tab w:val="clear" w:pos="708"/>
                <w:tab w:val="left" w:pos="3969" w:leader="none"/>
              </w:tabs>
              <w:spacing w:lineRule="auto" w:line="288" w:before="0" w:after="0"/>
              <w:jc w:val="both"/>
              <w:rPr>
                <w:rFonts w:eastAsia="Calibri"/>
                <w:spacing w:val="-2"/>
                <w:sz w:val="23"/>
                <w:szCs w:val="23"/>
                <w:lang w:val="uz-Cyrl-UZ" w:eastAsia="en-US"/>
              </w:rPr>
            </w:pPr>
            <w:r>
              <w:rPr>
                <w:rFonts w:eastAsia="Calibri"/>
                <w:spacing w:val="-2"/>
                <w:sz w:val="23"/>
                <w:szCs w:val="23"/>
                <w:lang w:val="uz-Cyrl-UZ" w:eastAsia="en-US"/>
              </w:rPr>
              <w:t>6.Omonat muddati</w:t>
            </w:r>
          </w:p>
        </w:tc>
        <w:tc>
          <w:tcPr>
            <w:tcW w:w="5103" w:type="dxa"/>
            <w:tcBorders>
              <w:top w:val="single" w:sz="4" w:space="0" w:color="000000"/>
              <w:start w:val="single" w:sz="4" w:space="0" w:color="000000"/>
              <w:bottom w:val="single" w:sz="4" w:space="0" w:color="000000"/>
              <w:end w:val="single" w:sz="4" w:space="0" w:color="000000"/>
            </w:tcBorders>
            <w:vAlign w:val="center"/>
          </w:tcPr>
          <w:p>
            <w:pPr>
              <w:pStyle w:val="Style21"/>
              <w:shd w:fill="FFFFFF" w:val="clear"/>
              <w:tabs>
                <w:tab w:val="clear" w:pos="708"/>
                <w:tab w:val="left" w:pos="3969" w:leader="none"/>
              </w:tabs>
              <w:spacing w:lineRule="auto" w:line="288" w:before="0" w:after="0"/>
              <w:rPr>
                <w:rFonts w:eastAsia="Calibri"/>
                <w:spacing w:val="-2"/>
                <w:sz w:val="23"/>
                <w:szCs w:val="23"/>
                <w:lang w:val="uz-Cyrl-UZ" w:eastAsia="en-US"/>
              </w:rPr>
            </w:pPr>
            <w:r>
              <w:rPr>
                <w:rFonts w:eastAsia="Calibri"/>
                <w:spacing w:val="-2"/>
                <w:sz w:val="23"/>
                <w:szCs w:val="23"/>
                <w:lang w:val="en-US" w:eastAsia="en-US"/>
              </w:rPr>
              <w:t>13</w:t>
            </w:r>
            <w:r>
              <w:rPr>
                <w:rFonts w:eastAsia="Calibri"/>
                <w:spacing w:val="-2"/>
                <w:sz w:val="23"/>
                <w:szCs w:val="23"/>
                <w:lang w:val="uz-Cyrl-UZ" w:eastAsia="en-US"/>
              </w:rPr>
              <w:t xml:space="preserve"> (</w:t>
            </w:r>
            <w:r>
              <w:rPr>
                <w:rFonts w:eastAsia="Calibri"/>
                <w:spacing w:val="-2"/>
                <w:sz w:val="23"/>
                <w:szCs w:val="23"/>
                <w:lang w:val="en-US" w:eastAsia="en-US"/>
              </w:rPr>
              <w:t>o‘n uch</w:t>
            </w:r>
            <w:r>
              <w:rPr>
                <w:rFonts w:eastAsia="Calibri"/>
                <w:spacing w:val="-2"/>
                <w:sz w:val="23"/>
                <w:szCs w:val="23"/>
                <w:lang w:val="uz-Cyrl-UZ" w:eastAsia="en-US"/>
              </w:rPr>
              <w:t>) oy</w:t>
            </w:r>
          </w:p>
        </w:tc>
      </w:tr>
      <w:tr>
        <w:trPr/>
        <w:tc>
          <w:tcPr>
            <w:tcW w:w="4820" w:type="dxa"/>
            <w:tcBorders>
              <w:top w:val="single" w:sz="4" w:space="0" w:color="000000"/>
              <w:start w:val="single" w:sz="4" w:space="0" w:color="000000"/>
              <w:bottom w:val="single" w:sz="4" w:space="0" w:color="000000"/>
              <w:end w:val="single" w:sz="4" w:space="0" w:color="000000"/>
            </w:tcBorders>
            <w:vAlign w:val="center"/>
          </w:tcPr>
          <w:p>
            <w:pPr>
              <w:pStyle w:val="Style21"/>
              <w:shd w:fill="FFFFFF" w:val="clear"/>
              <w:tabs>
                <w:tab w:val="clear" w:pos="708"/>
                <w:tab w:val="left" w:pos="3969" w:leader="none"/>
              </w:tabs>
              <w:spacing w:lineRule="auto" w:line="288" w:before="0" w:after="0"/>
              <w:jc w:val="both"/>
              <w:rPr>
                <w:rFonts w:eastAsia="Calibri"/>
                <w:spacing w:val="-2"/>
                <w:sz w:val="23"/>
                <w:szCs w:val="23"/>
                <w:lang w:val="uz-Cyrl-UZ" w:eastAsia="en-US"/>
              </w:rPr>
            </w:pPr>
            <w:r>
              <w:rPr>
                <w:rFonts w:eastAsia="Calibri"/>
                <w:spacing w:val="-2"/>
                <w:sz w:val="23"/>
                <w:szCs w:val="23"/>
                <w:lang w:val="uz-Cyrl-UZ" w:eastAsia="en-US"/>
              </w:rPr>
              <w:t>7.Omonatga hisoblangan foiz to‘lovlarni amalga oshirish</w:t>
            </w:r>
          </w:p>
        </w:tc>
        <w:tc>
          <w:tcPr>
            <w:tcW w:w="5103" w:type="dxa"/>
            <w:tcBorders>
              <w:top w:val="single" w:sz="4" w:space="0" w:color="000000"/>
              <w:start w:val="single" w:sz="4" w:space="0" w:color="000000"/>
              <w:bottom w:val="single" w:sz="4" w:space="0" w:color="000000"/>
              <w:end w:val="single" w:sz="4" w:space="0" w:color="000000"/>
            </w:tcBorders>
            <w:vAlign w:val="center"/>
          </w:tcPr>
          <w:p>
            <w:pPr>
              <w:pStyle w:val="Style21"/>
              <w:shd w:fill="FFFFFF" w:val="clear"/>
              <w:tabs>
                <w:tab w:val="clear" w:pos="708"/>
                <w:tab w:val="left" w:pos="3969" w:leader="none"/>
              </w:tabs>
              <w:spacing w:lineRule="auto" w:line="288" w:before="0" w:after="0"/>
              <w:rPr>
                <w:rFonts w:eastAsia="Calibri"/>
                <w:spacing w:val="-2"/>
                <w:sz w:val="23"/>
                <w:szCs w:val="23"/>
                <w:lang w:val="uz-Cyrl-UZ" w:eastAsia="en-US"/>
              </w:rPr>
            </w:pPr>
            <w:r>
              <w:rPr>
                <w:rFonts w:eastAsia="Calibri"/>
                <w:spacing w:val="-2"/>
                <w:sz w:val="23"/>
                <w:szCs w:val="23"/>
                <w:lang w:val="uz-Cyrl-UZ" w:eastAsia="en-US"/>
              </w:rPr>
              <w:t>Har oyda</w:t>
            </w:r>
          </w:p>
        </w:tc>
      </w:tr>
      <w:tr>
        <w:trPr/>
        <w:tc>
          <w:tcPr>
            <w:tcW w:w="4820" w:type="dxa"/>
            <w:tcBorders>
              <w:top w:val="single" w:sz="4" w:space="0" w:color="000000"/>
              <w:start w:val="single" w:sz="4" w:space="0" w:color="000000"/>
              <w:bottom w:val="single" w:sz="4" w:space="0" w:color="000000"/>
              <w:end w:val="single" w:sz="4" w:space="0" w:color="000000"/>
            </w:tcBorders>
            <w:vAlign w:val="center"/>
          </w:tcPr>
          <w:p>
            <w:pPr>
              <w:pStyle w:val="Style21"/>
              <w:shd w:fill="FFFFFF" w:val="clear"/>
              <w:tabs>
                <w:tab w:val="clear" w:pos="708"/>
                <w:tab w:val="left" w:pos="3969" w:leader="none"/>
              </w:tabs>
              <w:spacing w:lineRule="auto" w:line="288" w:before="0" w:after="0"/>
              <w:jc w:val="both"/>
              <w:rPr>
                <w:rFonts w:eastAsia="Calibri"/>
                <w:spacing w:val="-2"/>
                <w:sz w:val="23"/>
                <w:szCs w:val="23"/>
                <w:lang w:val="uz-Cyrl-UZ" w:eastAsia="en-US"/>
              </w:rPr>
            </w:pPr>
            <w:r>
              <w:rPr>
                <w:rFonts w:eastAsia="Calibri"/>
                <w:spacing w:val="-2"/>
                <w:sz w:val="23"/>
                <w:szCs w:val="23"/>
                <w:lang w:val="uz-Cyrl-UZ" w:eastAsia="en-US"/>
              </w:rPr>
              <w:t>8.Kapitalizatsiya shartining mavjudligi</w:t>
            </w:r>
          </w:p>
        </w:tc>
        <w:tc>
          <w:tcPr>
            <w:tcW w:w="5103" w:type="dxa"/>
            <w:tcBorders>
              <w:top w:val="single" w:sz="4" w:space="0" w:color="000000"/>
              <w:start w:val="single" w:sz="4" w:space="0" w:color="000000"/>
              <w:bottom w:val="single" w:sz="4" w:space="0" w:color="000000"/>
              <w:end w:val="single" w:sz="4" w:space="0" w:color="000000"/>
            </w:tcBorders>
          </w:tcPr>
          <w:p>
            <w:pPr>
              <w:pStyle w:val="Style21"/>
              <w:shd w:fill="FFFFFF" w:val="clear"/>
              <w:tabs>
                <w:tab w:val="clear" w:pos="708"/>
                <w:tab w:val="left" w:pos="3969" w:leader="none"/>
              </w:tabs>
              <w:spacing w:lineRule="auto" w:line="288" w:before="0" w:after="0"/>
              <w:jc w:val="both"/>
              <w:rPr>
                <w:rFonts w:eastAsia="Calibri"/>
                <w:spacing w:val="-2"/>
                <w:sz w:val="23"/>
                <w:szCs w:val="23"/>
                <w:lang w:val="uz-Cyrl-UZ" w:eastAsia="en-US"/>
              </w:rPr>
            </w:pPr>
            <w:r>
              <w:rPr>
                <w:rFonts w:eastAsia="Calibri"/>
                <w:spacing w:val="-2"/>
                <w:sz w:val="23"/>
                <w:szCs w:val="23"/>
                <w:lang w:val="uz-Cyrl-UZ" w:eastAsia="en-US"/>
              </w:rPr>
              <w:t>Foizlar oylik kapitalizatsiya qilinmaydi</w:t>
            </w:r>
          </w:p>
        </w:tc>
      </w:tr>
      <w:tr>
        <w:trPr/>
        <w:tc>
          <w:tcPr>
            <w:tcW w:w="4820" w:type="dxa"/>
            <w:tcBorders>
              <w:top w:val="single" w:sz="4" w:space="0" w:color="000000"/>
              <w:start w:val="single" w:sz="4" w:space="0" w:color="000000"/>
              <w:bottom w:val="single" w:sz="4" w:space="0" w:color="000000"/>
              <w:end w:val="single" w:sz="4" w:space="0" w:color="000000"/>
            </w:tcBorders>
            <w:vAlign w:val="center"/>
          </w:tcPr>
          <w:p>
            <w:pPr>
              <w:pStyle w:val="Style21"/>
              <w:shd w:fill="FFFFFF" w:val="clear"/>
              <w:tabs>
                <w:tab w:val="clear" w:pos="708"/>
                <w:tab w:val="left" w:pos="3969" w:leader="none"/>
              </w:tabs>
              <w:spacing w:lineRule="auto" w:line="288" w:before="0" w:after="0"/>
              <w:jc w:val="both"/>
              <w:rPr>
                <w:rFonts w:eastAsia="Calibri"/>
                <w:spacing w:val="-2"/>
                <w:sz w:val="23"/>
                <w:szCs w:val="23"/>
                <w:lang w:val="uz-Cyrl-UZ" w:eastAsia="en-US"/>
              </w:rPr>
            </w:pPr>
            <w:r>
              <w:rPr>
                <w:rFonts w:eastAsia="Calibri"/>
                <w:spacing w:val="-2"/>
                <w:sz w:val="23"/>
                <w:szCs w:val="23"/>
                <w:lang w:val="uz-Cyrl-UZ" w:eastAsia="en-US"/>
              </w:rPr>
              <w:t>9.Omonatning ustiga qo‘shimcha mablag‘ kiritib borish imkoniyati</w:t>
            </w:r>
          </w:p>
        </w:tc>
        <w:tc>
          <w:tcPr>
            <w:tcW w:w="5103" w:type="dxa"/>
            <w:tcBorders>
              <w:top w:val="single" w:sz="4" w:space="0" w:color="000000"/>
              <w:start w:val="single" w:sz="4" w:space="0" w:color="000000"/>
              <w:bottom w:val="single" w:sz="4" w:space="0" w:color="000000"/>
              <w:end w:val="single" w:sz="4" w:space="0" w:color="000000"/>
            </w:tcBorders>
            <w:vAlign w:val="center"/>
          </w:tcPr>
          <w:p>
            <w:pPr>
              <w:pStyle w:val="Style21"/>
              <w:shd w:fill="FFFFFF" w:val="clear"/>
              <w:tabs>
                <w:tab w:val="clear" w:pos="708"/>
                <w:tab w:val="left" w:pos="3969" w:leader="none"/>
              </w:tabs>
              <w:spacing w:lineRule="auto" w:line="288" w:before="0" w:after="0"/>
              <w:jc w:val="both"/>
              <w:rPr>
                <w:rFonts w:eastAsia="Calibri"/>
                <w:spacing w:val="-2"/>
                <w:sz w:val="23"/>
                <w:szCs w:val="23"/>
                <w:lang w:val="en-US" w:eastAsia="en-US"/>
              </w:rPr>
            </w:pPr>
            <w:r>
              <w:rPr>
                <w:rFonts w:eastAsia="Calibri"/>
                <w:spacing w:val="-2"/>
                <w:sz w:val="23"/>
                <w:szCs w:val="23"/>
                <w:lang w:val="en-US" w:eastAsia="en-US"/>
              </w:rPr>
              <w:t>Mavjud emas.</w:t>
            </w:r>
          </w:p>
        </w:tc>
      </w:tr>
      <w:tr>
        <w:trPr/>
        <w:tc>
          <w:tcPr>
            <w:tcW w:w="4820" w:type="dxa"/>
            <w:tcBorders>
              <w:top w:val="single" w:sz="4" w:space="0" w:color="000000"/>
              <w:start w:val="single" w:sz="4" w:space="0" w:color="000000"/>
              <w:bottom w:val="single" w:sz="4" w:space="0" w:color="000000"/>
              <w:end w:val="single" w:sz="4" w:space="0" w:color="000000"/>
            </w:tcBorders>
            <w:vAlign w:val="center"/>
          </w:tcPr>
          <w:p>
            <w:pPr>
              <w:pStyle w:val="Style21"/>
              <w:shd w:fill="FFFFFF" w:val="clear"/>
              <w:tabs>
                <w:tab w:val="clear" w:pos="708"/>
                <w:tab w:val="left" w:pos="3969" w:leader="none"/>
              </w:tabs>
              <w:spacing w:lineRule="auto" w:line="288" w:before="0" w:after="0"/>
              <w:jc w:val="both"/>
              <w:rPr>
                <w:rFonts w:eastAsia="Calibri"/>
                <w:spacing w:val="-2"/>
                <w:sz w:val="23"/>
                <w:szCs w:val="23"/>
                <w:lang w:val="uz-Cyrl-UZ" w:eastAsia="en-US"/>
              </w:rPr>
            </w:pPr>
            <w:r>
              <w:rPr>
                <w:rFonts w:eastAsia="Calibri"/>
                <w:spacing w:val="-2"/>
                <w:sz w:val="23"/>
                <w:szCs w:val="23"/>
                <w:lang w:val="uz-Cyrl-UZ" w:eastAsia="en-US"/>
              </w:rPr>
              <w:t>10.Omonatdan qisman yechish imkoniyati</w:t>
            </w:r>
          </w:p>
        </w:tc>
        <w:tc>
          <w:tcPr>
            <w:tcW w:w="5103" w:type="dxa"/>
            <w:tcBorders>
              <w:top w:val="single" w:sz="4" w:space="0" w:color="000000"/>
              <w:start w:val="single" w:sz="4" w:space="0" w:color="000000"/>
              <w:bottom w:val="single" w:sz="4" w:space="0" w:color="000000"/>
              <w:end w:val="single" w:sz="4" w:space="0" w:color="000000"/>
            </w:tcBorders>
            <w:vAlign w:val="center"/>
          </w:tcPr>
          <w:p>
            <w:pPr>
              <w:pStyle w:val="Style21"/>
              <w:shd w:fill="FFFFFF" w:val="clear"/>
              <w:tabs>
                <w:tab w:val="clear" w:pos="708"/>
                <w:tab w:val="left" w:pos="3969" w:leader="none"/>
              </w:tabs>
              <w:spacing w:lineRule="auto" w:line="288" w:before="0" w:after="0"/>
              <w:jc w:val="both"/>
              <w:rPr>
                <w:rFonts w:eastAsia="Calibri"/>
                <w:spacing w:val="-2"/>
                <w:sz w:val="23"/>
                <w:szCs w:val="23"/>
                <w:lang w:val="uz-Cyrl-UZ" w:eastAsia="en-US"/>
              </w:rPr>
            </w:pPr>
            <w:r>
              <w:rPr>
                <w:rFonts w:eastAsia="Calibri"/>
                <w:spacing w:val="-2"/>
                <w:sz w:val="23"/>
                <w:szCs w:val="23"/>
                <w:lang w:val="en-US" w:eastAsia="en-US"/>
              </w:rPr>
              <w:t>M</w:t>
            </w:r>
            <w:r>
              <w:rPr>
                <w:rFonts w:eastAsia="Calibri"/>
                <w:spacing w:val="-2"/>
                <w:sz w:val="23"/>
                <w:szCs w:val="23"/>
                <w:lang w:val="uz-Cyrl-UZ" w:eastAsia="en-US"/>
              </w:rPr>
              <w:t>umkin</w:t>
            </w:r>
            <w:r>
              <w:rPr>
                <w:rFonts w:eastAsia="Calibri"/>
                <w:spacing w:val="-2"/>
                <w:sz w:val="23"/>
                <w:szCs w:val="23"/>
                <w:lang w:val="en-US" w:eastAsia="en-US"/>
              </w:rPr>
              <w:t xml:space="preserve"> emas</w:t>
            </w:r>
            <w:r>
              <w:rPr>
                <w:rFonts w:eastAsia="Calibri"/>
                <w:spacing w:val="-2"/>
                <w:sz w:val="23"/>
                <w:szCs w:val="23"/>
                <w:lang w:val="uz-Cyrl-UZ" w:eastAsia="en-US"/>
              </w:rPr>
              <w:t>.</w:t>
            </w:r>
          </w:p>
        </w:tc>
      </w:tr>
      <w:tr>
        <w:trPr/>
        <w:tc>
          <w:tcPr>
            <w:tcW w:w="4820" w:type="dxa"/>
            <w:tcBorders>
              <w:top w:val="single" w:sz="4" w:space="0" w:color="000000"/>
              <w:start w:val="single" w:sz="4" w:space="0" w:color="000000"/>
              <w:bottom w:val="single" w:sz="4" w:space="0" w:color="000000"/>
              <w:end w:val="single" w:sz="4" w:space="0" w:color="000000"/>
            </w:tcBorders>
            <w:vAlign w:val="center"/>
          </w:tcPr>
          <w:p>
            <w:pPr>
              <w:pStyle w:val="Style21"/>
              <w:shd w:fill="FFFFFF" w:val="clear"/>
              <w:tabs>
                <w:tab w:val="clear" w:pos="708"/>
                <w:tab w:val="left" w:pos="3969" w:leader="none"/>
              </w:tabs>
              <w:spacing w:lineRule="auto" w:line="288" w:before="0" w:after="0"/>
              <w:jc w:val="both"/>
              <w:rPr>
                <w:rFonts w:eastAsia="Calibri"/>
                <w:spacing w:val="-2"/>
                <w:sz w:val="23"/>
                <w:szCs w:val="23"/>
                <w:lang w:val="uz-Cyrl-UZ" w:eastAsia="en-US"/>
              </w:rPr>
            </w:pPr>
            <w:r>
              <w:rPr>
                <w:rFonts w:eastAsia="Calibri"/>
                <w:spacing w:val="-2"/>
                <w:sz w:val="23"/>
                <w:szCs w:val="23"/>
                <w:lang w:val="uz-Cyrl-UZ" w:eastAsia="en-US"/>
              </w:rPr>
              <w:t>11. Omonat muddatidan oldin qaytarib olinganda bank tomonidan qo‘llaniladigan yillik foiz stavkasi va shartlari</w:t>
            </w:r>
          </w:p>
        </w:tc>
        <w:tc>
          <w:tcPr>
            <w:tcW w:w="5103" w:type="dxa"/>
            <w:tcBorders>
              <w:top w:val="single" w:sz="4" w:space="0" w:color="000000"/>
              <w:start w:val="single" w:sz="4" w:space="0" w:color="000000"/>
              <w:bottom w:val="single" w:sz="4" w:space="0" w:color="000000"/>
              <w:end w:val="single" w:sz="4" w:space="0" w:color="000000"/>
            </w:tcBorders>
            <w:vAlign w:val="center"/>
          </w:tcPr>
          <w:p>
            <w:pPr>
              <w:pStyle w:val="Style21"/>
              <w:shd w:fill="FFFFFF" w:val="clear"/>
              <w:tabs>
                <w:tab w:val="clear" w:pos="708"/>
                <w:tab w:val="left" w:pos="3969" w:leader="none"/>
              </w:tabs>
              <w:spacing w:lineRule="auto" w:line="288" w:before="0" w:after="0"/>
              <w:jc w:val="both"/>
              <w:rPr>
                <w:rFonts w:eastAsia="Calibri"/>
                <w:spacing w:val="-2"/>
                <w:sz w:val="23"/>
                <w:szCs w:val="23"/>
                <w:lang w:val="uz-Cyrl-UZ" w:eastAsia="en-US"/>
              </w:rPr>
            </w:pPr>
            <w:r>
              <w:rPr>
                <w:rFonts w:eastAsia="Calibri"/>
                <w:spacing w:val="-2"/>
                <w:sz w:val="23"/>
                <w:szCs w:val="23"/>
                <w:lang w:val="uz-Cyrl-UZ" w:eastAsia="en-US"/>
              </w:rPr>
              <w:t xml:space="preserve">Omonat shartnomasi muddatidan avval bekor qilinsa omonatga foiz to‘lanmaydi, avval to‘langan foizlar qayta hisoblanadi va ortiqcha to‘langan foizlar omonat summasidan chegirib qolinadi. </w:t>
            </w:r>
          </w:p>
        </w:tc>
      </w:tr>
    </w:tbl>
    <w:p>
      <w:pPr>
        <w:pStyle w:val="Normal"/>
        <w:shd w:fill="FFFFFF" w:val="clear"/>
        <w:tabs>
          <w:tab w:val="clear" w:pos="708"/>
          <w:tab w:val="left" w:pos="0" w:leader="none"/>
        </w:tabs>
        <w:suppressAutoHyphens w:val="true"/>
        <w:rPr>
          <w:rFonts w:ascii="Times New Roman" w:hAnsi="Times New Roman" w:cs="Times New Roman"/>
          <w:spacing w:val="-2"/>
          <w:sz w:val="26"/>
          <w:szCs w:val="26"/>
          <w:lang w:val="uz-Cyrl-UZ"/>
        </w:rPr>
      </w:pPr>
      <w:r>
        <w:rPr>
          <w:rFonts w:cs="Times New Roman" w:ascii="Times New Roman" w:hAnsi="Times New Roman"/>
          <w:spacing w:val="-2"/>
          <w:sz w:val="26"/>
          <w:szCs w:val="26"/>
          <w:lang w:val="uz-Cyrl-UZ"/>
        </w:rPr>
      </w:r>
    </w:p>
    <w:p>
      <w:pPr>
        <w:pStyle w:val="Normal"/>
        <w:shd w:fill="FFFFFF" w:val="clear"/>
        <w:tabs>
          <w:tab w:val="clear" w:pos="708"/>
          <w:tab w:val="left" w:pos="0" w:leader="none"/>
        </w:tabs>
        <w:suppressAutoHyphens w:val="true"/>
        <w:spacing w:lineRule="auto" w:line="240" w:before="0" w:after="0"/>
        <w:jc w:val="center"/>
        <w:rPr>
          <w:rFonts w:ascii="Times New Roman" w:hAnsi="Times New Roman" w:cs="Times New Roman"/>
          <w:spacing w:val="-2"/>
          <w:sz w:val="23"/>
          <w:szCs w:val="23"/>
          <w:lang w:val="uz-Cyrl-UZ"/>
        </w:rPr>
      </w:pPr>
      <w:r>
        <w:rPr>
          <w:rFonts w:eastAsia="Times New Roman" w:cs="Times New Roman" w:ascii="Times New Roman" w:hAnsi="Times New Roman"/>
          <w:spacing w:val="-2"/>
          <w:sz w:val="23"/>
          <w:szCs w:val="23"/>
          <w:lang w:val="uz-Cyrl-UZ"/>
        </w:rPr>
        <w:t xml:space="preserve">             </w:t>
      </w:r>
      <w:r>
        <w:rPr>
          <w:rFonts w:cs="Times New Roman" w:ascii="Times New Roman" w:hAnsi="Times New Roman"/>
          <w:spacing w:val="-2"/>
          <w:sz w:val="23"/>
          <w:szCs w:val="23"/>
          <w:lang w:val="uz-Cyrl-UZ"/>
        </w:rPr>
        <w:t>1.1. Ushbu shartnomaga muvofiq “Bank” “Omonatchi”dan____________________</w:t>
      </w:r>
      <w:r>
        <w:rPr>
          <w:rFonts w:cs="Times New Roman" w:ascii="Times New Roman" w:hAnsi="Times New Roman"/>
          <w:spacing w:val="-2"/>
          <w:sz w:val="23"/>
          <w:szCs w:val="23"/>
          <w:lang w:val="en-US"/>
        </w:rPr>
        <w:t>_________</w:t>
      </w:r>
      <w:r>
        <w:rPr>
          <w:rFonts w:cs="Times New Roman" w:ascii="Times New Roman" w:hAnsi="Times New Roman"/>
          <w:spacing w:val="-2"/>
          <w:sz w:val="23"/>
          <w:szCs w:val="23"/>
          <w:lang w:val="uz-Cyrl-UZ"/>
        </w:rPr>
        <w:t xml:space="preserve"> _________________________________________________________________________</w:t>
      </w:r>
      <w:r>
        <w:rPr>
          <w:rFonts w:cs="Times New Roman" w:ascii="Times New Roman" w:hAnsi="Times New Roman"/>
          <w:spacing w:val="-2"/>
          <w:sz w:val="23"/>
          <w:szCs w:val="23"/>
          <w:lang w:val="en-US"/>
        </w:rPr>
        <w:t>_________</w:t>
      </w:r>
      <w:r>
        <w:rPr>
          <w:rFonts w:cs="Times New Roman" w:ascii="Times New Roman" w:hAnsi="Times New Roman"/>
          <w:spacing w:val="-2"/>
          <w:sz w:val="23"/>
          <w:szCs w:val="23"/>
          <w:lang w:val="uz-Cyrl-UZ"/>
        </w:rPr>
        <w:t xml:space="preserve"> </w:t>
      </w:r>
      <w:r>
        <w:rPr>
          <w:rFonts w:cs="Times New Roman" w:ascii="Times New Roman" w:hAnsi="Times New Roman"/>
          <w:spacing w:val="-2"/>
          <w:sz w:val="23"/>
          <w:szCs w:val="23"/>
          <w:lang w:val="en-US"/>
        </w:rPr>
        <w:t xml:space="preserve">                                                                                                                                 </w:t>
      </w:r>
      <w:r>
        <w:rPr>
          <w:rFonts w:cs="Times New Roman" w:ascii="Times New Roman" w:hAnsi="Times New Roman"/>
          <w:spacing w:val="-2"/>
          <w:sz w:val="23"/>
          <w:szCs w:val="23"/>
          <w:lang w:val="uz-Cyrl-UZ"/>
        </w:rPr>
        <w:t>(omonat summasi raqam bilan)</w:t>
      </w:r>
    </w:p>
    <w:p>
      <w:pPr>
        <w:pStyle w:val="Normal"/>
        <w:shd w:fill="FFFFFF" w:val="clear"/>
        <w:tabs>
          <w:tab w:val="clear" w:pos="708"/>
          <w:tab w:val="left" w:pos="0" w:leader="none"/>
        </w:tabs>
        <w:suppressAutoHyphens w:val="true"/>
        <w:spacing w:lineRule="auto" w:line="240" w:before="0" w:after="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 xml:space="preserve">____________________________________________________________________omonat summasi so‘z bilan) so‘m miqdordagi pul mablag‘ini _______ nomli ________ omonat turiga mazkur shartnomada belgilangan shartlar asosida qabul qilish, amaldagi tartibda foiz hisoblash va shartnomada belgilangan muddatdan so‘ng qaytarib berish shartlari bilan qabul qilib oladi.  </w:t>
      </w:r>
    </w:p>
    <w:p>
      <w:pPr>
        <w:pStyle w:val="Style22"/>
        <w:shd w:fill="FFFFFF" w:val="clear"/>
        <w:tabs>
          <w:tab w:val="clear" w:pos="708"/>
          <w:tab w:val="left" w:pos="0" w:leader="none"/>
        </w:tabs>
        <w:suppressAutoHyphens w:val="true"/>
        <w:spacing w:lineRule="auto" w:line="288" w:before="0" w:after="0"/>
        <w:ind w:firstLine="720" w:start="0" w:end="0"/>
        <w:contextualSpacing w:val="false"/>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 xml:space="preserve">1.2. Bank omonati shartnomasini omonatchi tomonidan noto‘g‘ri talqin qilinishi omonatchiga bank tomonidan shartnoma yoki ofertaga zid ravishda ma’lum imtiyozlar yaratib berishga asos bo‘lmaydi. </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eastAsia="Times New Roman" w:cs="Times New Roman"/>
          <w:sz w:val="24"/>
          <w:szCs w:val="24"/>
          <w:lang w:val="uz-Latn-UZ" w:eastAsia="ru-RU"/>
        </w:rPr>
      </w:pPr>
      <w:r>
        <w:rPr>
          <w:rFonts w:cs="Times New Roman" w:ascii="Times New Roman" w:hAnsi="Times New Roman"/>
          <w:spacing w:val="-2"/>
          <w:sz w:val="23"/>
          <w:szCs w:val="23"/>
          <w:lang w:val="uz-Cyrl-UZ"/>
        </w:rPr>
        <w:t>1.3. </w:t>
      </w:r>
      <w:r>
        <w:rPr>
          <w:rFonts w:eastAsia="Times New Roman" w:cs="Times New Roman" w:ascii="Times New Roman" w:hAnsi="Times New Roman"/>
          <w:sz w:val="24"/>
          <w:szCs w:val="24"/>
          <w:lang w:val="uz-Cyrl-UZ" w:eastAsia="ru-RU"/>
        </w:rPr>
        <w:t xml:space="preserve">Omonatchi </w:t>
      </w:r>
      <w:r>
        <w:rPr>
          <w:rFonts w:eastAsia="Times New Roman" w:cs="Times New Roman" w:ascii="Times New Roman" w:hAnsi="Times New Roman"/>
          <w:sz w:val="24"/>
          <w:szCs w:val="24"/>
          <w:lang w:val="uz-Latn-UZ" w:eastAsia="ru-RU"/>
        </w:rPr>
        <w:t>quyidagilarni tasdiqlaydi:</w:t>
      </w:r>
    </w:p>
    <w:p>
      <w:pPr>
        <w:pStyle w:val="Normal"/>
        <w:spacing w:lineRule="auto" w:line="240" w:before="0" w:after="0"/>
        <w:ind w:firstLine="708" w:end="0"/>
        <w:jc w:val="both"/>
        <w:rPr>
          <w:rFonts w:ascii="Times New Roman" w:hAnsi="Times New Roman" w:eastAsia="Times New Roman" w:cs="Times New Roman"/>
          <w:sz w:val="24"/>
          <w:szCs w:val="24"/>
          <w:lang w:val="uz-Latn-UZ" w:eastAsia="ru-RU"/>
        </w:rPr>
      </w:pPr>
      <w:r>
        <w:rPr>
          <w:rFonts w:eastAsia="Times New Roman" w:cs="Times New Roman" w:ascii="Times New Roman" w:hAnsi="Times New Roman"/>
          <w:sz w:val="24"/>
          <w:szCs w:val="24"/>
          <w:lang w:val="uz-Latn-UZ" w:eastAsia="ru-RU"/>
        </w:rPr>
        <w:t xml:space="preserve">- </w:t>
      </w:r>
      <w:r>
        <w:rPr>
          <w:rFonts w:eastAsia="Times New Roman" w:cs="Times New Roman" w:ascii="Times New Roman" w:hAnsi="Times New Roman"/>
          <w:sz w:val="24"/>
          <w:szCs w:val="24"/>
          <w:lang w:val="uz-Cyrl-UZ" w:eastAsia="ru-RU"/>
        </w:rPr>
        <w:t>Omonat shartlarida belgilangan boshqa shartlar hamda quyidagilar bilan mazkur omonat shartnomasini imzolash jarayonida tanishtirilganligi</w:t>
      </w:r>
      <w:r>
        <w:rPr>
          <w:rFonts w:eastAsia="Times New Roman" w:cs="Times New Roman" w:ascii="Times New Roman" w:hAnsi="Times New Roman"/>
          <w:sz w:val="24"/>
          <w:szCs w:val="24"/>
          <w:lang w:val="uz-Latn-UZ" w:eastAsia="ru-RU"/>
        </w:rPr>
        <w:t>;</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eastAsia="Times New Roman" w:cs="Times New Roman"/>
          <w:spacing w:val="-2"/>
          <w:sz w:val="24"/>
          <w:szCs w:val="24"/>
          <w:lang w:val="uz-Latn-UZ" w:eastAsia="ru-RU"/>
        </w:rPr>
      </w:pPr>
      <w:r>
        <w:rPr>
          <w:rFonts w:eastAsia="Times New Roman" w:cs="Times New Roman" w:ascii="Times New Roman" w:hAnsi="Times New Roman"/>
          <w:spacing w:val="-2"/>
          <w:sz w:val="24"/>
          <w:szCs w:val="24"/>
          <w:lang w:val="uz-Latn-UZ" w:eastAsia="ru-RU"/>
        </w:rPr>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4"/>
          <w:szCs w:val="24"/>
          <w:lang w:val="uz-Cyrl-UZ"/>
        </w:rPr>
      </w:pPr>
      <w:r>
        <w:rPr>
          <w:rFonts w:cs="Times New Roman" w:ascii="Times New Roman" w:hAnsi="Times New Roman"/>
          <w:spacing w:val="-2"/>
          <w:sz w:val="24"/>
          <w:szCs w:val="24"/>
          <w:lang w:val="uz-Cyrl-UZ"/>
        </w:rPr>
        <w:t xml:space="preserve">Kafolatlash </w:t>
      </w:r>
      <w:r>
        <w:rPr>
          <w:rFonts w:cs="Times New Roman" w:ascii="Times New Roman" w:hAnsi="Times New Roman"/>
          <w:spacing w:val="-2"/>
          <w:sz w:val="24"/>
          <w:szCs w:val="24"/>
          <w:lang w:val="uz-Latn-UZ"/>
        </w:rPr>
        <w:t>h</w:t>
      </w:r>
      <w:r>
        <w:rPr>
          <w:rFonts w:cs="Times New Roman" w:ascii="Times New Roman" w:hAnsi="Times New Roman"/>
          <w:spacing w:val="-2"/>
          <w:sz w:val="24"/>
          <w:szCs w:val="24"/>
          <w:lang w:val="uz-Cyrl-UZ"/>
        </w:rPr>
        <w:t>odisasi yuzaga kelganida omonatchilarning bankdagi omonatlari uchun kompensatsiya miqdori O‘zbekiston Respublikasining “Banklardagi omonatlarni himoya qilish kafolatlari to‘g‘risida”gi Qonuniga muvofiq belgilanadi va omonatlarini kafolatlash agentligi tomonidan quyidagi miqdorda amalga  oshiriladi:</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4"/>
          <w:szCs w:val="24"/>
          <w:lang w:val="uz-Cyrl-UZ"/>
        </w:rPr>
      </w:pPr>
      <w:r>
        <w:rPr>
          <w:rFonts w:cs="Times New Roman" w:ascii="Times New Roman" w:hAnsi="Times New Roman"/>
          <w:spacing w:val="-2"/>
          <w:sz w:val="24"/>
          <w:szCs w:val="24"/>
          <w:lang w:val="uz-Cyrl-UZ"/>
        </w:rPr>
        <w:t>- kafolatlash ob’ekti qoldig‘ining to‘liq hajmini, agar uning miqdori ikki yuz million so‘m yoki undan kam bo‘lsa;</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4"/>
          <w:szCs w:val="24"/>
          <w:lang w:val="uz-Cyrl-UZ"/>
        </w:rPr>
      </w:pPr>
      <w:r>
        <w:rPr>
          <w:rFonts w:cs="Times New Roman" w:ascii="Times New Roman" w:hAnsi="Times New Roman"/>
          <w:spacing w:val="-2"/>
          <w:sz w:val="24"/>
          <w:szCs w:val="24"/>
          <w:lang w:val="uz-Cyrl-UZ"/>
        </w:rPr>
        <w:t xml:space="preserve">- ikki yuz million so‘mni, agar kafolatlash ob’ektining qoldig‘i ikki yuz million so‘mdan ko‘p bo‘lsa.  </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eastAsia="Times New Roman" w:cs="Times New Roman" w:ascii="Times New Roman" w:hAnsi="Times New Roman"/>
          <w:sz w:val="24"/>
          <w:szCs w:val="24"/>
          <w:lang w:val="uz-Cyrl-UZ" w:eastAsia="ru-RU"/>
        </w:rPr>
        <w:t xml:space="preserve">- </w:t>
      </w:r>
      <w:bookmarkStart w:id="0" w:name="_Hlk191300152"/>
      <w:r>
        <w:rPr>
          <w:rFonts w:eastAsia="Times New Roman" w:cs="Times New Roman" w:ascii="Times New Roman" w:hAnsi="Times New Roman"/>
          <w:sz w:val="24"/>
          <w:szCs w:val="24"/>
          <w:lang w:val="uz-Cyrl-UZ" w:eastAsia="ru-RU"/>
        </w:rPr>
        <w:t>“Shaxsga doir ma’lumotlar to‘g‘risida”gi qonunga muvofiq, o‘zining shaxsga doir ma’lumotlari Bank tomonidan ishlov berilishiga va uchinchi shaxlarga taqdim qilinishiga shartlarsiz va muddatsiz o‘z roziligini berganligini (shartnomaning ushbu sharti u bekor bo‘lgandan so‘ng ham o‘z kuchini saqlaydi)</w:t>
      </w:r>
      <w:bookmarkEnd w:id="0"/>
      <w:r>
        <w:rPr>
          <w:rFonts w:cs="Times New Roman" w:ascii="Times New Roman" w:hAnsi="Times New Roman"/>
          <w:spacing w:val="-2"/>
          <w:sz w:val="23"/>
          <w:szCs w:val="23"/>
          <w:lang w:val="uz-Cyrl-UZ"/>
        </w:rPr>
        <w:t xml:space="preserve">.  </w:t>
      </w:r>
    </w:p>
    <w:p>
      <w:pPr>
        <w:pStyle w:val="Style22"/>
        <w:shd w:fill="FFFFFF" w:val="clear"/>
        <w:tabs>
          <w:tab w:val="clear" w:pos="708"/>
          <w:tab w:val="left" w:pos="709" w:leader="none"/>
          <w:tab w:val="left" w:pos="993" w:leader="none"/>
        </w:tabs>
        <w:spacing w:lineRule="auto" w:line="288" w:before="0" w:after="0"/>
        <w:ind w:firstLine="720" w:start="0" w:end="0"/>
        <w:contextualSpacing w:val="false"/>
        <w:jc w:val="center"/>
        <w:rPr>
          <w:rFonts w:ascii="Times New Roman" w:hAnsi="Times New Roman" w:cs="Times New Roman"/>
          <w:b/>
          <w:bCs/>
          <w:spacing w:val="-2"/>
          <w:sz w:val="23"/>
          <w:szCs w:val="23"/>
          <w:lang w:val="uz-Cyrl-UZ"/>
        </w:rPr>
      </w:pPr>
      <w:r>
        <w:rPr>
          <w:rFonts w:cs="Times New Roman" w:ascii="Times New Roman" w:hAnsi="Times New Roman"/>
          <w:b/>
          <w:bCs/>
          <w:spacing w:val="-2"/>
          <w:sz w:val="23"/>
          <w:szCs w:val="23"/>
          <w:lang w:val="uz-Cyrl-UZ"/>
        </w:rPr>
        <w:t>II.Omonatga mablag‘ qabul qilish va rasmiylashtirish shartlari</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2.1. Omonatga mablag‘ qabul qilishdan oldin bank xodimi omonatchini ushbu omonat shartnomasi loyihasi hamda O‘zbekiston Respublikasi Adliya vazirligida  2018-yil 2-iyulda 3030-son bilan ro‘yxatdan o‘tgan “Bank xizmatlari iste’molchilari bilan o‘zaro munosabatlarni amalga oshirishda tijorat banklarining faoliyatiga qo‘yiladigan minimal talablar to‘g‘risida”gi Nizomning 26 bandida belgilangan ma’lumotlar bilan tanishtiradi.</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2.2. Omonatga mablag‘ 202_ -yil “____” ____________dan 202_ -yil “____”___________ gacha___ kun muddatda qabul qilinadi.</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2.3. Omonatga kelib tushgan mablag‘lar manbasining qonuniyligi yuzasidan to‘liq javobgarlik omonatchi yoki mablag‘ joylashtiruvchi zimmasiga yuklatiladi.</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2.4. Agar, omonatchi muddati tugagan omonatini ushbu omonatga qaytadan joylashtirish (muddatini uzaytirish) istagini bildirsa, aynan ushbu omonat bankda amalda bo‘lgan holatdagi shartlar asosida omonat summasi va unga hisoblangan (agar omonatchi foizlarni talab qilmasdan omonat summasiga kiritmoqchi bo‘lsa) foizlari bilan birga qayta rasmiylashtirilishi mumkin. Bunda omonatchiga yangi omonat daftarchasi rasmiylashtirilmaydi va yangi hisobvaraq ochilmaydi.</w:t>
      </w:r>
    </w:p>
    <w:p>
      <w:pPr>
        <w:pStyle w:val="Normal"/>
        <w:shd w:fill="FFFFFF" w:val="clear"/>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2.5. Ushbu bank omonati shartnomasi omonat summasi bankdagi tegishli hisobraqamga kelib tushgan kundan boshlab tuzilgan hisoblanadi.</w:t>
      </w:r>
    </w:p>
    <w:p>
      <w:pPr>
        <w:pStyle w:val="Normal"/>
        <w:shd w:fill="FFFFFF" w:val="clear"/>
        <w:spacing w:lineRule="auto" w:line="288" w:before="0" w:after="0"/>
        <w:jc w:val="center"/>
        <w:rPr>
          <w:rFonts w:ascii="Times New Roman" w:hAnsi="Times New Roman" w:cs="Times New Roman"/>
          <w:b/>
          <w:bCs/>
          <w:spacing w:val="-2"/>
          <w:sz w:val="23"/>
          <w:szCs w:val="23"/>
          <w:lang w:val="uz-Cyrl-UZ"/>
        </w:rPr>
      </w:pPr>
      <w:r>
        <w:rPr>
          <w:rFonts w:cs="Times New Roman" w:ascii="Times New Roman" w:hAnsi="Times New Roman"/>
          <w:b/>
          <w:bCs/>
          <w:spacing w:val="-2"/>
          <w:sz w:val="23"/>
          <w:szCs w:val="23"/>
          <w:lang w:val="uz-Cyrl-UZ"/>
        </w:rPr>
        <w:t>III.Omonatga foizlar hisoblash va qaytarish shartlari</w:t>
      </w:r>
    </w:p>
    <w:p>
      <w:pPr>
        <w:pStyle w:val="Normal"/>
        <w:numPr>
          <w:ilvl w:val="0"/>
          <w:numId w:val="0"/>
        </w:numPr>
        <w:shd w:fill="FFFFFF" w:val="clear"/>
        <w:spacing w:lineRule="auto" w:line="288" w:before="0" w:after="0"/>
        <w:ind w:firstLine="720" w:start="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 xml:space="preserve">3.1. Omonatga joylashtirilgan mablag‘ga foiz to‘lovlar 365 kun hisobidan kelib chiqib, omonat bankka tushgan kunning ertasidan boshlab, to u omonatchiga qaytarilgan yoki boshqa asoslarga ko‘ra omonatchining hisobvarag‘idan o‘chirilgan kundan oldingi kungacha hisoblanadi. </w:t>
      </w:r>
    </w:p>
    <w:p>
      <w:pPr>
        <w:pStyle w:val="Normal"/>
        <w:shd w:fill="FFFFFF" w:val="clear"/>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3.2. </w:t>
      </w:r>
      <w:r>
        <w:rPr>
          <w:rFonts w:cs="Times New Roman" w:ascii="Times New Roman" w:hAnsi="Times New Roman"/>
          <w:spacing w:val="-2"/>
          <w:sz w:val="24"/>
          <w:szCs w:val="24"/>
          <w:lang w:val="uz-Cyrl-UZ"/>
        </w:rPr>
        <w:t xml:space="preserve">Omonatga hisoblangan foizlar bank tomonidan </w:t>
      </w:r>
      <w:r>
        <w:rPr>
          <w:rFonts w:cs="Times New Roman" w:ascii="Times New Roman" w:hAnsi="Times New Roman"/>
          <w:sz w:val="23"/>
          <w:szCs w:val="23"/>
          <w:lang w:val="uz-Cyrl-UZ"/>
        </w:rPr>
        <w:t xml:space="preserve">har oyda </w:t>
      </w:r>
      <w:r>
        <w:rPr>
          <w:rFonts w:eastAsia="Times New Roman" w:cs="Times New Roman" w:ascii="Times New Roman" w:hAnsi="Times New Roman"/>
          <w:sz w:val="24"/>
          <w:szCs w:val="24"/>
          <w:lang w:val="uz-Cyrl-UZ" w:eastAsia="ru-RU"/>
        </w:rPr>
        <w:t>omonat summasiga hisoblangan foizlar omonat shartlarida belgilangan muddat va tartibda omonatchiga (norezident bo‘lgan jismoniy shaxs omonatiga hisoblangan foiz daromadidan O‘zbekiston Respublikasining Soliq kodeksining 382-moddasiga asosan 10 foiz miqdorida belgilangan tartibda soliq chegirib qolgan holda omonat hisobvarag‘iga o‘tkazilgan kuni avtomatik tarzda ushlab qolish orqali) to‘lab beriladi</w:t>
      </w:r>
      <w:r>
        <w:rPr>
          <w:rFonts w:cs="Times New Roman" w:ascii="Times New Roman" w:hAnsi="Times New Roman"/>
          <w:spacing w:val="-2"/>
          <w:sz w:val="23"/>
          <w:szCs w:val="23"/>
          <w:lang w:val="uz-Cyrl-UZ"/>
        </w:rPr>
        <w:t>.</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3.3. Bir oy muddat to‘lmasdan omonatchining tashabbusi bilan qaytarib olinganda omonatga hisoblangan foiz to‘lovlari mazkur omonat shartlariga asosan to‘lab beriladi.</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 xml:space="preserve">3.4. Omonatni yoki uning foizlarini to‘lash muddati dam olish va bayram kunlariga to‘g‘ri kelganda omonat to‘lovlari keyingi ish kunida beriladi. </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3.5. Omonatchining omonat hisobvarag‘i vakolatli organlar tomonidan band solingan davri uchun omonatga foizlar hisoblanmaydi.</w:t>
      </w:r>
    </w:p>
    <w:p>
      <w:pPr>
        <w:pStyle w:val="Normal"/>
        <w:shd w:fill="FFFFFF" w:val="clear"/>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 xml:space="preserve">3.6. Omonatdagi qoldiq (hisoblangan foizlar bilan birga) mablag‘larning </w:t>
        <w:br/>
        <w:t xml:space="preserve">100 so‘mdan ortiq qismi yaxlitlangan holda omonaticha to‘liq to‘lab beriladi. 1 tiyindan </w:t>
        <w:br/>
        <w:t>99 so‘mgacha bo‘lgan qismi bank xarajati(daromadi)ga qaytariladi.</w:t>
      </w:r>
    </w:p>
    <w:p>
      <w:pPr>
        <w:pStyle w:val="Normal"/>
        <w:shd w:fill="FFFFFF" w:val="clear"/>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3.7. Omonatchi o‘z pul mablag‘larini shartnoma muddati davomida mazkur shartnomada kelishilgan shartlarga amal qilgan holda naqd pulda yoki naqd pulsiz shaklida olishi, boshqa omonat turiga qayta rasmiylashtirishi shuningdek, boshqa hisob raqamlarga naqd pulsiz shaklda o‘tkazishi mumkin.</w:t>
      </w:r>
    </w:p>
    <w:p>
      <w:pPr>
        <w:pStyle w:val="Normal"/>
        <w:numPr>
          <w:ilvl w:val="0"/>
          <w:numId w:val="0"/>
        </w:numPr>
        <w:shd w:fill="FFFFFF" w:val="clear"/>
        <w:spacing w:lineRule="auto" w:line="288" w:before="0" w:after="0"/>
        <w:ind w:firstLine="720" w:start="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3.8. “Omonatchi” yoki uning qonuniy vakili topshirig‘iga binoan omonat hisobvarag‘ida turgan pul mablag‘lari bilan bog‘liq bank amaliyotlari bo‘yicha amalga oshirilgan xizmatlar uchun bankning amaldagi yagona tarifi asosida omonatchining roziligisiz bank xizmat haqi undiriladi.</w:t>
      </w:r>
    </w:p>
    <w:p>
      <w:pPr>
        <w:pStyle w:val="Normal"/>
        <w:shd w:fill="FFFFFF" w:val="clear"/>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3.9. Omonat muddati tugagandan so‘ng, joylashtirilgan mablag‘ni omonatchi tomonidan qaytarib berish talab qilinmagan hollarda, omonatning muddati</w:t>
      </w:r>
    </w:p>
    <w:p>
      <w:pPr>
        <w:pStyle w:val="Normal"/>
        <w:shd w:fill="FFFFFF" w:val="clear"/>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 xml:space="preserve">talab qilib olinguncha saqlanadigan omonatlar shartlari asosida uzaytirilgan hisoblanadi. Omonatning shartnoma muddati tugagandan so‘ng 3 bank ish kunida omonatchi tomonidan joylashtirilgan omonat mablag‘i bankdan talab qilib olinmasa, omonat mablag‘i (hisoblangan foizlari bilan birgalikda) omonatchining ishtirokisiz omonatchining “Talab qilib olinguncha” saqlanadigan omonat hisob raqamiga o‘tkaziladi. Bunda, talab qilib olingunicha hisobraqamida saqlangan davr uchun foizlar to‘lanmaydi. </w:t>
      </w:r>
    </w:p>
    <w:p>
      <w:pPr>
        <w:pStyle w:val="Normal"/>
        <w:shd w:fill="FFFFFF" w:val="clear"/>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3.10. Agar omonatchi, omonatini bank omonati shartnomasida ko‘rsatilgan holatlar yuz bergunga qadar qaytarib berishni talab qilmoqchi bo‘lsa, omonatchi bu haqida bankni omonatini qaytarib olishni rejalashtirayotgan sanadan kamida bir oy oldin xabardor qilishi lozim.</w:t>
      </w:r>
    </w:p>
    <w:p>
      <w:pPr>
        <w:pStyle w:val="Style22"/>
        <w:shd w:fill="FFFFFF" w:val="clear"/>
        <w:tabs>
          <w:tab w:val="clear" w:pos="708"/>
          <w:tab w:val="left" w:pos="0" w:leader="none"/>
        </w:tabs>
        <w:suppressAutoHyphens w:val="true"/>
        <w:spacing w:lineRule="auto" w:line="288" w:before="0" w:after="0"/>
        <w:ind w:start="0" w:end="0"/>
        <w:contextualSpacing w:val="false"/>
        <w:jc w:val="center"/>
        <w:rPr>
          <w:rFonts w:ascii="Times New Roman" w:hAnsi="Times New Roman" w:cs="Times New Roman"/>
          <w:b/>
          <w:bCs/>
          <w:spacing w:val="-2"/>
          <w:sz w:val="23"/>
          <w:szCs w:val="23"/>
          <w:lang w:val="uz-Cyrl-UZ"/>
        </w:rPr>
      </w:pPr>
      <w:r>
        <w:rPr>
          <w:rFonts w:cs="Times New Roman" w:ascii="Times New Roman" w:hAnsi="Times New Roman"/>
          <w:b/>
          <w:bCs/>
          <w:spacing w:val="-2"/>
          <w:sz w:val="23"/>
          <w:szCs w:val="23"/>
          <w:lang w:val="uz-Cyrl-UZ"/>
        </w:rPr>
        <w:t>IV.Tomonlarning huquq va majburiyatlari</w:t>
      </w:r>
    </w:p>
    <w:p>
      <w:pPr>
        <w:pStyle w:val="Style22"/>
        <w:widowControl w:val="false"/>
        <w:shd w:fill="FFFFFF" w:val="clear"/>
        <w:tabs>
          <w:tab w:val="clear" w:pos="708"/>
          <w:tab w:val="left" w:pos="0" w:leader="none"/>
        </w:tabs>
        <w:overflowPunct w:val="false"/>
        <w:autoSpaceDE w:val="false"/>
        <w:spacing w:lineRule="auto" w:line="288" w:before="0" w:after="0"/>
        <w:ind w:firstLine="720" w:start="0" w:end="0"/>
        <w:contextualSpacing w:val="false"/>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4.1. Omonatchi quyidagi huquqlarga ega:</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4.1.1. Bankning omonat turlari to‘g‘risidagi ma’lumotlarni og‘zaki, bank telefon aloqasi yoki Internet veb saytlari orqali olish;</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4.1.2. Omonat summasi va u bo‘yicha hisoblangan foizlarni ushbu shartnomada kelishilgan shartlar asosida belgilangan muddatlarda bankdan olish;</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4.1.3. Omonatchi bank omonati shartnomasi muddati tugagunga qadar davr oralig‘ida bankdan mavjud omonatini muddatidan oldin qaytarib berishni yoki uni boshqa omonat turiga qayta rasmiylashtirishni mazkur shartnoma shartlari asosida talab qilish;</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4.1.4. Omonatchi o‘z istagiga ko‘ra bankning “SMS banking” yoki boshqa amaldagi xizmat turlaridan, “Elektron oferta” asosida bank bilan belgilangan tartibda munosabatga kirishishi hamda omonat hisobvaraqlaridan masofadan foydalanish.</w:t>
      </w:r>
    </w:p>
    <w:p>
      <w:pPr>
        <w:pStyle w:val="Normal"/>
        <w:shd w:fill="FFFFFF" w:val="clear"/>
        <w:tabs>
          <w:tab w:val="clear" w:pos="708"/>
          <w:tab w:val="left" w:pos="0" w:leader="none"/>
        </w:tabs>
        <w:suppressAutoHyphens w:val="true"/>
        <w:spacing w:lineRule="auto" w:line="288" w:before="0" w:after="0"/>
        <w:ind w:firstLine="720" w:end="0"/>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4.2. Bank quyidagi huquqlarga ega:</w:t>
      </w:r>
    </w:p>
    <w:p>
      <w:pPr>
        <w:pStyle w:val="Normal"/>
        <w:shd w:fill="FFFFFF" w:val="clear"/>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 xml:space="preserve">4.2.1. Omonatchi yoki uning qonuniy vakillaridan hisobvaraq ochish hamda amaliyotlarni bajarishda shaxsini aniqlash maqsadida shaxsini tasdiqlovchi hujjatini ko‘rsatilishini talab etish va uning nusxasini olish. Zarur hollarda qonunda ko‘zda tutilgan boshqa qo‘shimcha hujjatlarni talab qilish; </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4.2.2. Omonatchining bank omonati hisobvarag‘idagi pul mablag‘larini ularning omonat daftarchalari (omonat daftarchasi taqdim etilgan hollarda) bilan mos kelishini ichki xatlovdan o‘tkazish yoki boshqa zarur deb topilgan hollarda yuzaga kelgan noaniqliklar bo‘yicha omonatchini bankka taklif qilish;</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4.2.3. Omonat muddati tugaganidan so‘ng omonatchi tomonidan joylashtirilgan mablag‘ini qaytarib olish talab qilinmagan hollarda, ushbu omonatini talab qilib olinguncha saqlanadigan omonatlar hisobvarag‘ini omonatchining roziligisiz ochib, ushbu hisobvaraqqa o‘tkazish;</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4.2.4. Bank omonatchining omonat hisobvarag‘ida turgan pul mablag‘lariga doir bank operatsiyalari va dasturiy xizmatlar bo‘yicha omonatchining roziligisiz bajarilgan amaliyotlar uchun bankning amaldagi xizmat tariflariga asosan vositachilik haqini undirish;</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4.2.5. Bank ushbu hisobvaraq va u orqali bajarilgan amaliyotlar to‘g‘risidagi ma’lumotlarni “Bank siri to‘g‘risida” O‘zbekiston Respublikasi qonunida belgilangan tartib asosida uchinchi shaxslarga omonatchining roziligisiz berish va qonunchilikda ta’qiqlanmagan boshqa huquqlarga ega.</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4.2.6. Mijoz yoki uning operatsiyasi ichki nazorat qoidalari yoki sanksiya ta’sir doirasiga tushganda yoki tushish xavfi mavjud bo‘lganda, operatsiyani o‘rganish maqsadida omonatchidan qo‘shimcha ma’lumotlar so‘rash, operatsiya miqdorini chegaralash, operatsiyani cheklash (rad etishi), mijozning anketasidagi ma’lumotlarda nomuvofiqlik yuzaga kelgan hollarda xizmat ko‘rsatishni rad etish va mijoz bilan shartnomani bir tomonlama bekor qilish.</w:t>
      </w:r>
    </w:p>
    <w:p>
      <w:pPr>
        <w:pStyle w:val="Normal"/>
        <w:shd w:fill="FFFFFF" w:val="clear"/>
        <w:tabs>
          <w:tab w:val="clear" w:pos="708"/>
          <w:tab w:val="left" w:pos="0" w:leader="none"/>
        </w:tabs>
        <w:suppressAutoHyphens w:val="true"/>
        <w:spacing w:lineRule="auto" w:line="288" w:before="0" w:after="0"/>
        <w:ind w:firstLine="720" w:end="0"/>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4.3. Omonatchining majburiyatlari quyidagilardan iborat:</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4.3.1. Omonatchi ushbu omonat shartnomasida kelishilgan summani to‘liq va o‘z vaqtida bankdagi omonat hisobvarag‘iga topshirish;</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4.3.2. Agar omonatchi omonatini bank omonati shartnomasida ko‘rsatilgan muddatidan oldin to‘liq yoki qisman qaytarib berishni talab qilsa, omonatchi joylashtirgan omonatini muddatidan oldin qaytarib olishi to‘g‘risida bankni kamida bir oy oldin xabardor qilish;</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4.3.3. Omonatchi bankning “SMS banking” xizmati yoki “Elektron oferta” asosida omonat dasturining amaldagi elektron shaklidan foydalanish jarayonida ma’lumotlarni oshkor qilish yoki qilmaslik jumladan, masofaviy tarzda amalga oshirgan amaliyotlarining barcha oqibatlari va xatarlari bo‘yicha javobgarlikni to‘liq o‘z zimmasiga olishi;</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4.3.4. Familiyasi, ismi, otasining ismi, telefon raqami yoki manzili o‘zgarganda, shuningdek shaxsini tasdiqlovchi hujjati almashtirilganda 3 (uch) bank ish kuni muddatda bankni o‘zgarishlar to‘g‘risida xabardor qilish va yangi hujjatining nusxasini bankka taqdim etish.</w:t>
      </w:r>
    </w:p>
    <w:p>
      <w:pPr>
        <w:pStyle w:val="Normal"/>
        <w:shd w:fill="FFFFFF" w:val="clear"/>
        <w:tabs>
          <w:tab w:val="clear" w:pos="708"/>
          <w:tab w:val="left" w:pos="0" w:leader="none"/>
        </w:tabs>
        <w:suppressAutoHyphens w:val="true"/>
        <w:spacing w:lineRule="auto" w:line="288" w:before="0" w:after="0"/>
        <w:ind w:firstLine="720" w:end="0"/>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4.4. Bankning majburiyatlari quyidagilardan iborat:</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4.4.1. Bank omonatning sir saqlanishini, omonat mablag‘larini hisobvaraqlarga kiritish va chiqarishda amaldagi qonunchilikka rioya qilish;</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4.4.2. Omonat va unga hisoblangan foizlarni mazkur shartnoma shartlari asosida o‘z vaqtida to‘liq miqdorda qaytarib berish yoki omonatchi talabiga ko‘ra boshqa hisob raqamga o‘tkazish;</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4.4.3. Omonat bo‘yicha amaliyotlar to‘xtatib qo‘yilganda, bank amaliyot to‘xtatilgan sanadan boshlab keyingi ish kunidan kechiktirmagan holda omonatchiga uning hisobvarag‘iga xizmat ko‘rsatish to‘xtatilganligi va uning sabablari yuzasidan xabarnoma (ma’lumotnoma) yuborish;</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4.4.4. Omonat shartnomasi bo‘yicha taraflarning o‘zaro munosabatlari yuzasidan savollar yuzaga kelganda, ushbu savollarning mohiyati bo‘yicha asosli javob va boshqa tegishli tushuntirishlar berish;</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4.4.5. Omonat shartnomasi masofaviy xizmat ko‘rsatish tizimlari orqali tuzilganda, bank iste’molchiga shartnoma tuzilishidan oldin mazkur tizim orqali shartnoma shartlari bilan tanishib chiqish va undan nusxa olish imkoniyatini yaratib berish;</w:t>
      </w:r>
    </w:p>
    <w:p>
      <w:pPr>
        <w:pStyle w:val="Normal"/>
        <w:tabs>
          <w:tab w:val="clear" w:pos="708"/>
          <w:tab w:val="left" w:pos="0" w:leader="none"/>
        </w:tabs>
        <w:suppressAutoHyphens w:val="true"/>
        <w:ind w:firstLine="567"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4.4.6. Bank omonatchiga uning pul mablag‘lari omonatga qabul qilinganligi to‘g‘risidagi tegishli hujjatni yozma shaklda yoki masofaviy xizmat ko‘rsatish tizimlari orqali elektron tarzda tasdiqlab berish;</w:t>
      </w:r>
    </w:p>
    <w:p>
      <w:pPr>
        <w:pStyle w:val="Normal"/>
        <w:tabs>
          <w:tab w:val="clear" w:pos="708"/>
          <w:tab w:val="left" w:pos="0" w:leader="none"/>
        </w:tabs>
        <w:suppressAutoHyphens w:val="true"/>
        <w:ind w:firstLine="567" w:end="0"/>
        <w:jc w:val="both"/>
        <w:rPr>
          <w:rFonts w:ascii="Times New Roman" w:hAnsi="Times New Roman" w:cs="Times New Roman"/>
          <w:spacing w:val="-2"/>
          <w:sz w:val="23"/>
          <w:szCs w:val="23"/>
          <w:lang w:val="uz-Cyrl-UZ"/>
        </w:rPr>
      </w:pPr>
      <w:r>
        <w:rPr>
          <w:rFonts w:eastAsia="Times New Roman" w:cs="Times New Roman" w:ascii="Times New Roman" w:hAnsi="Times New Roman"/>
          <w:sz w:val="24"/>
          <w:szCs w:val="24"/>
          <w:lang w:val="uz-Cyrl-UZ" w:eastAsia="ru-RU"/>
        </w:rPr>
        <w:t>4.4.7. Norezident jismoniy shaxslarning omonatlariga hisoblangan foiz daromadlarini omonatchiga to‘lanishida, O‘zbekiston Respublikasining Soliq kodeksining 382-moddasiga asosan daromad summasining 10 foiz miqdorida soliq undirish.</w:t>
      </w:r>
    </w:p>
    <w:p>
      <w:pPr>
        <w:pStyle w:val="Normal"/>
        <w:shd w:fill="FFFFFF" w:val="clear"/>
        <w:tabs>
          <w:tab w:val="clear" w:pos="708"/>
          <w:tab w:val="left" w:pos="0" w:leader="none"/>
        </w:tabs>
        <w:suppressAutoHyphens w:val="true"/>
        <w:spacing w:lineRule="auto" w:line="288" w:before="0" w:after="0"/>
        <w:ind w:firstLine="720" w:end="0"/>
        <w:jc w:val="center"/>
        <w:rPr>
          <w:rFonts w:ascii="Times New Roman" w:hAnsi="Times New Roman" w:cs="Times New Roman"/>
          <w:b/>
          <w:bCs/>
          <w:spacing w:val="-2"/>
          <w:sz w:val="23"/>
          <w:szCs w:val="23"/>
          <w:lang w:val="uz-Cyrl-UZ"/>
        </w:rPr>
      </w:pPr>
      <w:r>
        <w:rPr>
          <w:rFonts w:cs="Times New Roman" w:ascii="Times New Roman" w:hAnsi="Times New Roman"/>
          <w:b/>
          <w:bCs/>
          <w:spacing w:val="-2"/>
          <w:sz w:val="23"/>
          <w:szCs w:val="23"/>
          <w:lang w:val="uz-Cyrl-UZ"/>
        </w:rPr>
        <w:t>V. Korrupsiyaga qarshi shartlar</w:t>
      </w:r>
    </w:p>
    <w:p>
      <w:pPr>
        <w:pStyle w:val="Style22"/>
        <w:shd w:fill="FFFFFF" w:val="clear"/>
        <w:tabs>
          <w:tab w:val="clear" w:pos="708"/>
          <w:tab w:val="left" w:pos="883" w:leader="none"/>
        </w:tabs>
        <w:spacing w:lineRule="auto" w:line="288" w:before="0" w:after="0"/>
        <w:ind w:firstLine="720" w:start="0" w:end="0"/>
        <w:contextualSpacing w:val="false"/>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5.1. Taraflar ushbu shartnoma bo‘yicha o‘z majburiyatlarini  bajarayotganda ularning har biri o‘z faoliyatida korrupsion harakatlarni to‘liq taqiqlash va har qanday shaklda yordam  (bevosita  yoki bilvosita), shu jumladan pul mablag‘lari, qimmatbaho buyumlar, boshqa mol-mulk yoki mulkiy xarakterdagi xizmatlar, boshqa mulkiy huquqlarni olish/berish, muayyan masalalarni tezroq hal qilishni ta’minlash, ma’muriy va boshqa tartib-qoidalarni soddalashtirish., raqobat va boshqa afzalliklarni ta’minlashni to‘liq rad etadi. Tomonlar o‘z faoliyatida amaldagi qonunchilik, shuningdek uning asosida ishlab chiqilgan korrupsiyaga  qarshi kurashishga qaratilgan siyosat va tartib (agar mavjud bo‘lsa)talablariga amal  qiladilar.</w:t>
      </w:r>
    </w:p>
    <w:p>
      <w:pPr>
        <w:pStyle w:val="Style22"/>
        <w:shd w:fill="FFFFFF" w:val="clear"/>
        <w:tabs>
          <w:tab w:val="clear" w:pos="708"/>
          <w:tab w:val="left" w:pos="883" w:leader="none"/>
        </w:tabs>
        <w:spacing w:lineRule="auto" w:line="288" w:before="0" w:after="0"/>
        <w:ind w:firstLine="720" w:start="0" w:end="0"/>
        <w:contextualSpacing w:val="false"/>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5.2. Taraflar ushbu shartnoma bo‘yicha o‘z majburiyatlarini bajarish chog‘ida na o‘zlari, na ijroiya organi, na ularning mansabdor shaxslari yoki xodimlari biron-bir shaxslarga (jumladan, jismoniy shaxslar, tijorat tashkilotlari va davlat mansabdor shaxslari) korrupsion to‘lovlarni taqdim etishni taklif qilmasligini, taqdim etmasligini, rozilik bermasligini, shuningdek har qanday shaxsdan (to‘g‘ridan-to‘g‘ri yoki bilvosita) har qanday korrupsion to‘lovlarni olishga yoki qabul qilishga rozi bo‘lmasliklarini  kafolatlaydi.</w:t>
      </w:r>
    </w:p>
    <w:p>
      <w:pPr>
        <w:pStyle w:val="Style22"/>
        <w:shd w:fill="FFFFFF" w:val="clear"/>
        <w:tabs>
          <w:tab w:val="clear" w:pos="708"/>
          <w:tab w:val="left" w:pos="883" w:leader="none"/>
        </w:tabs>
        <w:spacing w:lineRule="auto" w:line="288" w:before="0" w:after="0"/>
        <w:ind w:firstLine="720" w:start="0" w:end="0"/>
        <w:contextualSpacing w:val="false"/>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 xml:space="preserve">5.3. Mazkur bo‘limning biron bir shartlari buzilgan taqdirda, tegishli taraf boshqa tarafni bunday buzilish sodir bo‘lgan kundan boshlab 5 (besh) ish kuni ichida yozma ravishda xabardor qilish majburiyatini oladi. Taraf yozma xabarnomada ushbu bo‘limning qaysi bir qoidalari buzilganligini tasdiqlovchi ishonchli faktlar va materiallarni taqdim qilishi shart. </w:t>
      </w:r>
    </w:p>
    <w:p>
      <w:pPr>
        <w:pStyle w:val="Style22"/>
        <w:shd w:fill="FFFFFF" w:val="clear"/>
        <w:tabs>
          <w:tab w:val="clear" w:pos="708"/>
          <w:tab w:val="left" w:pos="883" w:leader="none"/>
        </w:tabs>
        <w:spacing w:lineRule="auto" w:line="288" w:before="0" w:after="0"/>
        <w:ind w:firstLine="720" w:start="0" w:end="0"/>
        <w:contextualSpacing w:val="false"/>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 xml:space="preserve">5.4. Yozma xabarnomalar “Biznesni rivojlantirish bank” ATB tomonidan tashkil etilgan jismoniy va yuridik shaxslar uchun korrupsiyaga qarshi kurashish “Komplayens ishonch liniyasi” kanallari (tel:78 150-59-95, veb sayt </w:t>
      </w:r>
      <w:hyperlink r:id="rId2">
        <w:r>
          <w:rPr>
            <w:rStyle w:val="Hyperlink"/>
            <w:rFonts w:cs="Times New Roman" w:ascii="Times New Roman" w:hAnsi="Times New Roman"/>
            <w:spacing w:val="-2"/>
            <w:sz w:val="23"/>
            <w:szCs w:val="23"/>
            <w:lang w:val="uz-Cyrl-UZ"/>
          </w:rPr>
          <w:t>www.brb.uz</w:t>
        </w:r>
      </w:hyperlink>
      <w:r>
        <w:rPr>
          <w:rFonts w:cs="Times New Roman" w:ascii="Times New Roman" w:hAnsi="Times New Roman"/>
          <w:spacing w:val="-2"/>
          <w:sz w:val="23"/>
          <w:szCs w:val="23"/>
          <w:lang w:val="uz-Cyrl-UZ"/>
        </w:rPr>
        <w:t xml:space="preserve">, Telegram messenjer BRB AntiKor (@brbantikor_bot) orqali amalga oshiriladi. </w:t>
      </w:r>
    </w:p>
    <w:p>
      <w:pPr>
        <w:pStyle w:val="Style22"/>
        <w:shd w:fill="FFFFFF" w:val="clear"/>
        <w:tabs>
          <w:tab w:val="clear" w:pos="708"/>
          <w:tab w:val="left" w:pos="883" w:leader="none"/>
        </w:tabs>
        <w:spacing w:lineRule="auto" w:line="288" w:before="0" w:after="0"/>
        <w:ind w:firstLine="720" w:start="0" w:end="0"/>
        <w:contextualSpacing w:val="false"/>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 xml:space="preserve">5.5. Ushbu bo‘lim qoidalari taraflardan biri tomonidan buzilganligi fakti tasdiqlanganda va/yoki boshqa tarafning qoidabuzarliklarni ko‘rib chiqish haqida xabarnoma natijalari  yuzasidan ma’lumot taqdim qilmagan taqdirda, boshqa taraf shartnomani bir taraflama  qisman yoki to‘liq bekor  qilishga  haqli. </w:t>
      </w:r>
    </w:p>
    <w:p>
      <w:pPr>
        <w:pStyle w:val="Style22"/>
        <w:shd w:fill="FFFFFF" w:val="clear"/>
        <w:spacing w:lineRule="auto" w:line="288" w:before="0" w:after="0"/>
        <w:ind w:firstLine="720" w:start="0" w:end="0"/>
        <w:contextualSpacing w:val="false"/>
        <w:jc w:val="both"/>
        <w:rPr>
          <w:rFonts w:ascii="Times New Roman" w:hAnsi="Times New Roman" w:cs="Times New Roman"/>
          <w:spacing w:val="-2"/>
          <w:sz w:val="23"/>
          <w:szCs w:val="23"/>
          <w:lang w:val="en-US"/>
        </w:rPr>
      </w:pPr>
      <w:r>
        <w:rPr>
          <w:rFonts w:cs="Times New Roman" w:ascii="Times New Roman" w:hAnsi="Times New Roman"/>
          <w:spacing w:val="-2"/>
          <w:sz w:val="23"/>
          <w:szCs w:val="23"/>
          <w:lang w:val="uz-Cyrl-UZ"/>
        </w:rPr>
        <w:t>5.6. Mazkur shartnomani korrupsiyaga qarshi shartlarga asoslanib bekor qilgan taraf, bunday bekor qilish natijasida yetkazilgan haqiqiy zararni talab qilishga haqli. Zararlarni qoplash taraflar tomonidan yozma ravishda tasdiqlangan dalolatnomada belgilangan muddat va miqdorda amalga oshiriladi.</w:t>
      </w:r>
      <w:r>
        <w:rPr>
          <w:rFonts w:cs="Times New Roman" w:ascii="Times New Roman" w:hAnsi="Times New Roman"/>
          <w:spacing w:val="-2"/>
          <w:sz w:val="23"/>
          <w:szCs w:val="23"/>
          <w:lang w:val="en-US"/>
        </w:rPr>
        <w:t xml:space="preserve">                                </w:t>
      </w:r>
    </w:p>
    <w:p>
      <w:pPr>
        <w:pStyle w:val="Style22"/>
        <w:shd w:fill="FFFFFF" w:val="clear"/>
        <w:spacing w:lineRule="auto" w:line="288" w:before="0" w:after="0"/>
        <w:ind w:firstLine="720" w:start="2112" w:end="0"/>
        <w:contextualSpacing w:val="false"/>
        <w:jc w:val="both"/>
        <w:rPr>
          <w:rFonts w:ascii="Times New Roman" w:hAnsi="Times New Roman" w:cs="Times New Roman"/>
          <w:spacing w:val="-2"/>
          <w:sz w:val="23"/>
          <w:szCs w:val="23"/>
          <w:lang w:val="uz-Cyrl-UZ"/>
        </w:rPr>
      </w:pPr>
      <w:r>
        <w:rPr>
          <w:rFonts w:cs="Times New Roman" w:ascii="Times New Roman" w:hAnsi="Times New Roman"/>
          <w:b/>
          <w:bCs/>
          <w:spacing w:val="-2"/>
          <w:sz w:val="23"/>
          <w:szCs w:val="23"/>
          <w:lang w:val="uz-Cyrl-UZ"/>
        </w:rPr>
        <w:t>VI.Tomonlarning javobgarligi va boshqa shartlar</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6.1. Tomonlar shartnoma shartlarini bajarmaganligi yoki lozim darajada bajarmaganligi uchun amaldagi qonunchilikda belgilangan tartibda javobgar bo‘ladilar.</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 xml:space="preserve">6.2. Shartnoma shartlarini bajarish yuzasidan kelib chiqadigan nizolar tomonlarning o‘zaro kelishuvlari orqali hal etiladi, tomonlar o‘zaro kelishuvga erishmaganlarida nizolar sud tartibida ko‘rib chiqiladi. </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 xml:space="preserve">6.3. Tomonlar o‘zlariga bog‘liq bo‘lmagan holda oldindan ko‘rib yoki bilib bo‘lmaydigan voqea va hodisalar natijasida o‘z majburiyatlarini to‘liq yoki qisman bajara olmasalar, majburiyatlarning fors-major holati (zilzila, urush, epidemiya, portlash, yong‘in, vakolatli organlar qarori, elektr tokining o‘chib qolishi, elektron to‘lov tizimi ishdan chiqishi)ga tegishli qismi uchun javobgar bo‘lmaydilar. Ushbu holat yuzaga kelganda, majburiyatlarini bajarmagan taraf ikkinchi tarafni bu haqida 15 (o‘n besh) kunlik muddat ichida yozma ravishda tasdiqlovchi hujjatlarni ilova qilgan holda xabardor qilishi shart. </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 xml:space="preserve">6.4. Shartnoma tuzuvchi tomonlar ushbu shartnomani tuzish uchun fuqaroviy muomala layoqatiga va shartnomani imzolash vakolatiga ega ekanliklarini tasdiqlaydilar.  </w:t>
      </w:r>
    </w:p>
    <w:p>
      <w:pPr>
        <w:pStyle w:val="Normal"/>
        <w:shd w:fill="FFFFFF" w:val="clear"/>
        <w:tabs>
          <w:tab w:val="clear" w:pos="708"/>
          <w:tab w:val="left" w:pos="0" w:leader="none"/>
        </w:tabs>
        <w:suppressAutoHyphens w:val="true"/>
        <w:spacing w:lineRule="auto" w:line="288" w:before="0" w:after="0"/>
        <w:ind w:firstLine="720" w:end="0"/>
        <w:jc w:val="both"/>
        <w:rPr>
          <w:rFonts w:ascii="Times New Roman" w:hAnsi="Times New Roman" w:cs="Times New Roman"/>
          <w:spacing w:val="-2"/>
          <w:sz w:val="23"/>
          <w:szCs w:val="23"/>
          <w:lang w:val="uz-Cyrl-UZ"/>
        </w:rPr>
      </w:pPr>
      <w:r>
        <w:rPr>
          <w:rFonts w:cs="Times New Roman" w:ascii="Times New Roman" w:hAnsi="Times New Roman"/>
          <w:spacing w:val="-2"/>
          <w:sz w:val="23"/>
          <w:szCs w:val="23"/>
          <w:lang w:val="uz-Cyrl-UZ"/>
        </w:rPr>
        <w:t xml:space="preserve">6.5. Ushbu shartnoma ikki nusxada tuzilib, ular teng yuridik kuchga ega va tomonlarda bir nusxadan saqlanadi. Shartnoma bank tomonidan omonat summasi hamda foizlari to‘liq qaytarilgunga qadar muddatda amalda bo‘ladi. </w:t>
      </w:r>
    </w:p>
    <w:p>
      <w:pPr>
        <w:pStyle w:val="Normal"/>
        <w:shd w:fill="FFFFFF" w:val="clear"/>
        <w:tabs>
          <w:tab w:val="clear" w:pos="708"/>
          <w:tab w:val="left" w:pos="0" w:leader="none"/>
        </w:tabs>
        <w:suppressAutoHyphens w:val="true"/>
        <w:ind w:end="-58"/>
        <w:jc w:val="center"/>
        <w:rPr>
          <w:rFonts w:ascii="Times New Roman" w:hAnsi="Times New Roman" w:cs="Times New Roman"/>
          <w:b/>
          <w:bCs/>
          <w:spacing w:val="-2"/>
          <w:sz w:val="23"/>
          <w:szCs w:val="23"/>
          <w:lang w:val="uz-Cyrl-UZ"/>
        </w:rPr>
      </w:pPr>
      <w:r>
        <w:rPr>
          <w:rFonts w:cs="Times New Roman" w:ascii="Times New Roman" w:hAnsi="Times New Roman"/>
          <w:b/>
          <w:bCs/>
          <w:spacing w:val="-2"/>
          <w:sz w:val="23"/>
          <w:szCs w:val="23"/>
          <w:lang w:val="uz-Cyrl-UZ"/>
        </w:rPr>
        <w:t>VII. Tomonlarning  manzili va rekvizitlari:</w:t>
      </w:r>
    </w:p>
    <w:p>
      <w:pPr>
        <w:pStyle w:val="Normal"/>
        <w:spacing w:before="0" w:after="200"/>
        <w:rPr>
          <w:rFonts w:ascii="Times New Roman" w:hAnsi="Times New Roman" w:cs="Times New Roman"/>
          <w:b/>
          <w:bCs/>
          <w:spacing w:val="-2"/>
          <w:sz w:val="23"/>
          <w:szCs w:val="23"/>
          <w:lang w:val="uz-Cyrl-UZ"/>
        </w:rPr>
      </w:pPr>
      <w:r>
        <w:rPr>
          <w:rFonts w:cs="Times New Roman" w:ascii="Times New Roman" w:hAnsi="Times New Roman"/>
          <w:b/>
          <w:bCs/>
          <w:spacing w:val="-2"/>
          <w:sz w:val="23"/>
          <w:szCs w:val="23"/>
          <w:lang w:val="uz-Cyrl-UZ"/>
        </w:rPr>
      </w:r>
    </w:p>
    <w:sectPr>
      <w:footerReference w:type="default" r:id="rId3"/>
      <w:type w:val="nextPage"/>
      <w:pgSz w:w="11906" w:h="16838"/>
      <w:pgMar w:left="1701" w:right="850" w:gutter="0" w:header="0" w:top="993" w:footer="708"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cc" w:characterSet="windows-1251"/>
    <w:family w:val="swiss"/>
    <w:pitch w:val="variable"/>
  </w:font>
  <w:font w:name="PANDA Times UZ">
    <w:altName w:val="Arial"/>
    <w:charset w:val="00" w:characterSet="windows-1252"/>
    <w:family w:val="swiss"/>
    <w:pitch w:val="variable"/>
  </w:font>
  <w:font w:name="Liberation Sans">
    <w:altName w:val="Arial"/>
    <w:charset w:val="01" w:characterSet="utf-8"/>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en-US"/>
      </w:rPr>
    </w:pPr>
    <w:r>
      <w:drawing>
        <wp:anchor behindDoc="1" distT="0" distB="0" distL="114935" distR="114935" simplePos="0" locked="0" layoutInCell="1" allowOverlap="1" relativeHeight="7">
          <wp:simplePos x="0" y="0"/>
          <wp:positionH relativeFrom="column">
            <wp:posOffset>5420360</wp:posOffset>
          </wp:positionH>
          <wp:positionV relativeFrom="paragraph">
            <wp:posOffset>10160</wp:posOffset>
          </wp:positionV>
          <wp:extent cx="762000" cy="662940"/>
          <wp:effectExtent l="0" t="0" r="0" b="0"/>
          <wp:wrapNone/>
          <wp:docPr id="1" name="Рисунок 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 title=""/>
                  <pic:cNvPicPr>
                    <a:picLocks noChangeAspect="1" noChangeArrowheads="1"/>
                  </pic:cNvPicPr>
                </pic:nvPicPr>
                <pic:blipFill>
                  <a:blip r:embed="rId1"/>
                  <a:srcRect l="-39" t="-39" r="-39" b="-39"/>
                  <a:stretch>
                    <a:fillRect/>
                  </a:stretch>
                </pic:blipFill>
                <pic:spPr bwMode="auto">
                  <a:xfrm>
                    <a:off x="0" y="0"/>
                    <a:ext cx="762000" cy="662940"/>
                  </a:xfrm>
                  <a:prstGeom prst="rect">
                    <a:avLst/>
                  </a:prstGeom>
                </pic:spPr>
              </pic:pic>
            </a:graphicData>
          </a:graphic>
        </wp:anchor>
      </w:drawing>
    </w:r>
    <w:r>
      <w:rPr>
        <w:rFonts w:cs="Times New Roman" w:ascii="Times New Roman" w:hAnsi="Times New Roman"/>
        <w:i/>
        <w:iCs/>
        <w:sz w:val="24"/>
        <w:szCs w:val="24"/>
        <w:lang w:val="uz-Cyrl-UZ"/>
      </w:rPr>
      <w:t xml:space="preserve">Korrupsion </w:t>
    </w:r>
    <w:r>
      <w:rPr>
        <w:rFonts w:cs="Times New Roman" w:ascii="Times New Roman" w:hAnsi="Times New Roman"/>
        <w:i/>
        <w:iCs/>
        <w:sz w:val="24"/>
        <w:szCs w:val="24"/>
        <w:lang w:val="en-US"/>
      </w:rPr>
      <w:t>h</w:t>
    </w:r>
    <w:r>
      <w:rPr>
        <w:rFonts w:cs="Times New Roman" w:ascii="Times New Roman" w:hAnsi="Times New Roman"/>
        <w:i/>
        <w:iCs/>
        <w:sz w:val="24"/>
        <w:szCs w:val="24"/>
        <w:lang w:val="uz-Cyrl-UZ"/>
      </w:rPr>
      <w:t xml:space="preserve">olatlar bo‘yicha ma’lumot berish uchun </w:t>
    </w:r>
    <w:r>
      <w:rPr>
        <w:rFonts w:cs="Times New Roman" w:ascii="Times New Roman" w:hAnsi="Times New Roman"/>
        <w:i/>
        <w:iCs/>
        <w:sz w:val="24"/>
        <w:szCs w:val="24"/>
        <w:lang w:val="en-US"/>
      </w:rPr>
      <w:t xml:space="preserve">QR </w:t>
    </w:r>
    <w:r>
      <w:rPr>
        <w:rFonts w:cs="Times New Roman" w:ascii="Times New Roman" w:hAnsi="Times New Roman"/>
        <w:i/>
        <w:iCs/>
        <w:sz w:val="24"/>
        <w:szCs w:val="24"/>
        <w:lang w:val="uz-Cyrl-UZ"/>
      </w:rPr>
      <w:t>kodni skanerlang</w:t>
    </w:r>
    <w:r>
      <w:rPr>
        <w:rFonts w:cs="Times New Roman" w:ascii="Times New Roman" w:hAnsi="Times New Roman"/>
        <w:i/>
        <w:iCs/>
        <w:sz w:val="24"/>
        <w:szCs w:val="24"/>
        <w:lang w:val="en-US"/>
      </w:rPr>
      <w:t xml:space="preserve">         </w:t>
    </w:r>
  </w:p>
  <w:p>
    <w:pPr>
      <w:pStyle w:val="Footer"/>
      <w:rPr>
        <w:lang w:val="en-US"/>
      </w:rPr>
    </w:pPr>
    <w:r>
      <w:rPr>
        <w:lang w:val="en-US"/>
      </w:rPr>
    </w:r>
  </w:p>
</w:ftr>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276" w:before="0" w:after="200"/>
    </w:pPr>
    <w:rPr>
      <w:rFonts w:ascii="Calibri" w:hAnsi="Calibri" w:eastAsia="Calibri" w:cs="Times New Roman"/>
      <w:color w:val="auto"/>
      <w:sz w:val="22"/>
      <w:szCs w:val="22"/>
      <w:lang w:val="ru-RU" w:bidi="ar-SA" w:eastAsia="zh-CN"/>
    </w:rPr>
  </w:style>
  <w:style w:type="character" w:styleId="WW8Num1z0">
    <w:name w:val="WW8Num1z0"/>
    <w:qFormat/>
    <w:rPr>
      <w:b/>
    </w:rPr>
  </w:style>
  <w:style w:type="character" w:styleId="Style14">
    <w:name w:val="Основной шрифт абзаца"/>
    <w:qFormat/>
    <w:rPr/>
  </w:style>
  <w:style w:type="character" w:styleId="Style15">
    <w:name w:val="Знак примечания"/>
    <w:qFormat/>
    <w:rPr>
      <w:sz w:val="16"/>
      <w:szCs w:val="16"/>
    </w:rPr>
  </w:style>
  <w:style w:type="character" w:styleId="Style16">
    <w:name w:val="Текст примечания Знак"/>
    <w:qFormat/>
    <w:rPr>
      <w:rFonts w:ascii="Calibri" w:hAnsi="Calibri" w:eastAsia="Calibri" w:cs="Times New Roman"/>
      <w:sz w:val="20"/>
      <w:szCs w:val="20"/>
    </w:rPr>
  </w:style>
  <w:style w:type="character" w:styleId="Style17">
    <w:name w:val="Абзац списка Знак"/>
    <w:qFormat/>
    <w:rPr>
      <w:rFonts w:ascii="Calibri" w:hAnsi="Calibri" w:eastAsia="Calibri" w:cs="Times New Roman"/>
    </w:rPr>
  </w:style>
  <w:style w:type="character" w:styleId="Style18">
    <w:name w:val="Верхний колонтитул Знак"/>
    <w:qFormat/>
    <w:rPr>
      <w:rFonts w:ascii="Calibri" w:hAnsi="Calibri" w:eastAsia="Calibri" w:cs="Times New Roman"/>
    </w:rPr>
  </w:style>
  <w:style w:type="character" w:styleId="Style19">
    <w:name w:val="Нижний колонтитул Знак"/>
    <w:qFormat/>
    <w:rPr>
      <w:rFonts w:ascii="Calibri" w:hAnsi="Calibri" w:eastAsia="Calibri" w:cs="Times New Roman"/>
    </w:rPr>
  </w:style>
  <w:style w:type="character" w:styleId="Style20">
    <w:name w:val="Основной текст Знак"/>
    <w:qFormat/>
    <w:rPr>
      <w:rFonts w:ascii="PANDA Times UZ;Arial" w:hAnsi="PANDA Times UZ;Arial" w:eastAsia="Times New Roman" w:cs="Times New Roman"/>
      <w:sz w:val="28"/>
      <w:szCs w:val="20"/>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overflowPunct w:val="false"/>
      <w:autoSpaceDE w:val="false"/>
      <w:spacing w:lineRule="auto" w:line="240" w:before="0" w:after="120"/>
      <w:textAlignment w:val="baseline"/>
    </w:pPr>
    <w:rPr>
      <w:rFonts w:ascii="PANDA Times UZ;Arial" w:hAnsi="PANDA Times UZ;Arial" w:eastAsia="Times New Roman" w:cs="PANDA Times UZ;Arial"/>
      <w:sz w:val="28"/>
      <w:szCs w:val="20"/>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Style21">
    <w:name w:val="Обычный (Интернет)"/>
    <w:basedOn w:val="Normal"/>
    <w:qFormat/>
    <w:pPr>
      <w:spacing w:lineRule="auto" w:line="240" w:before="280" w:after="280"/>
    </w:pPr>
    <w:rPr>
      <w:rFonts w:ascii="Times New Roman" w:hAnsi="Times New Roman" w:eastAsia="Times New Roman" w:cs="Times New Roman"/>
      <w:sz w:val="24"/>
      <w:szCs w:val="24"/>
    </w:rPr>
  </w:style>
  <w:style w:type="paragraph" w:styleId="Style22">
    <w:name w:val="Абзац списка"/>
    <w:basedOn w:val="Normal"/>
    <w:qFormat/>
    <w:pPr>
      <w:spacing w:before="0" w:after="200"/>
      <w:ind w:hanging="0" w:start="720" w:end="0"/>
      <w:contextualSpacing/>
    </w:pPr>
    <w:rPr/>
  </w:style>
  <w:style w:type="paragraph" w:styleId="Style23">
    <w:name w:val="Текст примечания"/>
    <w:basedOn w:val="Normal"/>
    <w:qFormat/>
    <w:pPr>
      <w:spacing w:lineRule="auto" w:line="240"/>
    </w:pPr>
    <w:rPr>
      <w:sz w:val="20"/>
      <w:szCs w:val="20"/>
    </w:rPr>
  </w:style>
  <w:style w:type="paragraph" w:styleId="HeaderandFooter">
    <w:name w:val="Header and Footer"/>
    <w:basedOn w:val="Normal"/>
    <w:qFormat/>
    <w:pPr>
      <w:suppressLineNumbers/>
      <w:tabs>
        <w:tab w:val="clear" w:pos="708"/>
        <w:tab w:val="center" w:pos="4819" w:leader="none"/>
        <w:tab w:val="right" w:pos="9638" w:leader="none"/>
      </w:tabs>
    </w:pPr>
    <w:rPr/>
  </w:style>
  <w:style w:type="paragraph" w:styleId="Header">
    <w:name w:val="Header"/>
    <w:basedOn w:val="Normal"/>
    <w:pPr>
      <w:spacing w:lineRule="auto" w:line="240" w:before="0" w:after="0"/>
    </w:pPr>
    <w:rPr/>
  </w:style>
  <w:style w:type="paragraph" w:styleId="Footer">
    <w:name w:val="Footer"/>
    <w:basedOn w:val="Normal"/>
    <w:pPr>
      <w:spacing w:lineRule="auto" w:line="240" w:before="0" w:after="0"/>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brb.uz/" TargetMode="Externa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2026-08-17T12:40:00Z</dcterms:created>
  <dc:creator>Olim arabov</dc:creator>
  <dc:description/>
  <cp:keywords/>
  <dc:language>en-US</dc:language>
  <cp:lastModifiedBy>Nodirjon Meliyev</cp:lastModifiedBy>
  <dcterms:modified xsi:type="dcterms:W3CDTF">2026-08-17T12:40:00Z</dcterms:modified>
  <cp:revision>2</cp:revision>
  <dc:subject/>
  <dc:title/>
</cp:coreProperties>
</file>