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A22" w14:textId="77777777" w:rsidR="00D2584E" w:rsidRPr="004525DE" w:rsidRDefault="00D2584E" w:rsidP="00D2584E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en-US"/>
        </w:rPr>
      </w:pP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Kreditning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asosiy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shartlari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proofErr w:type="gram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to‘</w:t>
      </w:r>
      <w:proofErr w:type="gram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g‘risidagi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axborot</w:t>
      </w:r>
      <w:proofErr w:type="spellEnd"/>
    </w:p>
    <w:p w14:paraId="45C299F4" w14:textId="77777777" w:rsidR="00D2584E" w:rsidRPr="000B4CB7" w:rsidRDefault="00D2584E" w:rsidP="00D2584E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14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7"/>
        <w:gridCol w:w="333"/>
        <w:gridCol w:w="324"/>
        <w:gridCol w:w="308"/>
        <w:gridCol w:w="299"/>
        <w:gridCol w:w="289"/>
        <w:gridCol w:w="281"/>
        <w:gridCol w:w="273"/>
        <w:gridCol w:w="264"/>
        <w:gridCol w:w="254"/>
        <w:gridCol w:w="250"/>
        <w:gridCol w:w="245"/>
        <w:gridCol w:w="250"/>
        <w:gridCol w:w="304"/>
        <w:gridCol w:w="302"/>
        <w:gridCol w:w="300"/>
        <w:gridCol w:w="299"/>
        <w:gridCol w:w="65"/>
        <w:gridCol w:w="497"/>
        <w:gridCol w:w="360"/>
        <w:gridCol w:w="347"/>
        <w:gridCol w:w="333"/>
        <w:gridCol w:w="324"/>
        <w:gridCol w:w="320"/>
        <w:gridCol w:w="403"/>
        <w:gridCol w:w="372"/>
        <w:gridCol w:w="352"/>
        <w:gridCol w:w="601"/>
      </w:tblGrid>
      <w:tr w:rsidR="00D2584E" w:rsidRPr="000B4CB7" w14:paraId="09E6FE4C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990C5E" w14:textId="77777777" w:rsidR="00D2584E" w:rsidRPr="000B4CB7" w:rsidRDefault="00D2584E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C4D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A718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6933F5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AF27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342BA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7C560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D1DC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6CA0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C119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1BAF6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53C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C3C7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27B6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DE5E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8A28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3B2FE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A9B2F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44A0B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D5D8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EBE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66A3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963B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70482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C29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481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BD04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1AF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7A98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7E8C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1050CE" w14:paraId="488668C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B66759" w14:textId="77777777" w:rsidR="00D2584E" w:rsidRPr="004525DE" w:rsidRDefault="00D2584E" w:rsidP="00D2584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Tijorat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rasmiy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veb-sayti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raqamlari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2D30E43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“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Biznesni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rivojlantirish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” ATB</w:t>
            </w:r>
          </w:p>
          <w:p w14:paraId="35D7033F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Sayt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: www.brb.uz</w:t>
            </w:r>
          </w:p>
          <w:p w14:paraId="14A458BD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Email: headoffice@brb.uz</w:t>
            </w:r>
          </w:p>
          <w:p w14:paraId="59C3D31A" w14:textId="7FECFDC2" w:rsidR="00D2584E" w:rsidRPr="000B4CB7" w:rsidRDefault="00D2584E" w:rsidP="00D258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lang w:val="en-US"/>
              </w:rPr>
              <w:t>Tel: (78) 150-00-</w:t>
            </w:r>
            <w:proofErr w:type="gramStart"/>
            <w:r>
              <w:rPr>
                <w:rFonts w:eastAsia="Times New Roman"/>
                <w:color w:val="000000"/>
                <w:lang w:val="en-US"/>
              </w:rPr>
              <w:t>55  Tel</w:t>
            </w:r>
            <w:proofErr w:type="gramEnd"/>
            <w:r>
              <w:rPr>
                <w:rFonts w:eastAsia="Times New Roman"/>
                <w:color w:val="000000"/>
                <w:lang w:val="en-US"/>
              </w:rPr>
              <w:t>: 1254</w:t>
            </w:r>
          </w:p>
        </w:tc>
      </w:tr>
      <w:tr w:rsidR="00D2584E" w:rsidRPr="001050CE" w14:paraId="75696794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6DABE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050CE" w14:paraId="0990F28D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B799B7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1-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ma’lumotlar</w:t>
            </w:r>
            <w:proofErr w:type="spellEnd"/>
          </w:p>
        </w:tc>
      </w:tr>
      <w:tr w:rsidR="00D2584E" w:rsidRPr="000B4CB7" w14:paraId="4C58B30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5C25F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E845E" w14:textId="7863146E" w:rsidR="00D2584E" w:rsidRPr="000B4CB7" w:rsidRDefault="003A3CF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Biznesga</w:t>
            </w:r>
            <w:proofErr w:type="spellEnd"/>
            <w:r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birinchi</w:t>
            </w:r>
            <w:proofErr w:type="spellEnd"/>
            <w:r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qadam</w:t>
            </w:r>
            <w:proofErr w:type="spellEnd"/>
            <w:r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</w:t>
            </w:r>
            <w:r w:rsidR="00D2584E" w:rsidRPr="003A3CF1">
              <w:rPr>
                <w:rFonts w:eastAsia="Times New Roman"/>
                <w:color w:val="000000"/>
                <w:sz w:val="20"/>
                <w:szCs w:val="20"/>
                <w:lang w:val="en-US"/>
              </w:rPr>
              <w:t>ikroqarz</w:t>
            </w:r>
            <w:proofErr w:type="spellEnd"/>
          </w:p>
        </w:tc>
      </w:tr>
      <w:tr w:rsidR="00D2584E" w:rsidRPr="001050CE" w14:paraId="21E5C32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A2709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183CEB" w14:textId="288AF616" w:rsidR="00D2584E" w:rsidRPr="006366D6" w:rsidRDefault="006366D6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zini</w:t>
            </w:r>
            <w:proofErr w:type="spell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o‘zi</w:t>
            </w:r>
            <w:proofErr w:type="spell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band </w:t>
            </w:r>
            <w:proofErr w:type="spell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qilish</w:t>
            </w:r>
            <w:proofErr w:type="spell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tartibida</w:t>
            </w:r>
            <w:proofErr w:type="spell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tadbirkorlik</w:t>
            </w:r>
            <w:proofErr w:type="spell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faoliyatini</w:t>
            </w:r>
            <w:proofErr w:type="spell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moliyalashtirish</w:t>
            </w:r>
            <w:proofErr w:type="spellEnd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6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</w:p>
        </w:tc>
      </w:tr>
      <w:tr w:rsidR="00D2584E" w:rsidRPr="000B4CB7" w14:paraId="32B2B387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7BF64D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A4A09E" w14:textId="0D8A67E6" w:rsidR="00D2584E" w:rsidRPr="000B4CB7" w:rsidRDefault="001050C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 w:rsidR="00D2584E" w:rsidRPr="000B4CB7">
              <w:rPr>
                <w:sz w:val="20"/>
                <w:szCs w:val="20"/>
              </w:rPr>
              <w:t xml:space="preserve">,0 </w:t>
            </w:r>
            <w:proofErr w:type="spellStart"/>
            <w:proofErr w:type="gramStart"/>
            <w:r w:rsidR="00D2584E">
              <w:rPr>
                <w:sz w:val="20"/>
                <w:szCs w:val="20"/>
              </w:rPr>
              <w:t>mln</w:t>
            </w:r>
            <w:r w:rsidR="00D2584E" w:rsidRPr="000B4CB7">
              <w:rPr>
                <w:sz w:val="20"/>
                <w:szCs w:val="20"/>
              </w:rPr>
              <w:t>.</w:t>
            </w:r>
            <w:r w:rsidR="00D2584E">
              <w:rPr>
                <w:sz w:val="20"/>
                <w:szCs w:val="20"/>
              </w:rPr>
              <w:t>so‘</w:t>
            </w:r>
            <w:proofErr w:type="gramEnd"/>
            <w:r w:rsidR="00D2584E">
              <w:rPr>
                <w:sz w:val="20"/>
                <w:szCs w:val="20"/>
              </w:rPr>
              <w:t>mgacha</w:t>
            </w:r>
            <w:proofErr w:type="spellEnd"/>
          </w:p>
        </w:tc>
      </w:tr>
      <w:tr w:rsidR="00D2584E" w:rsidRPr="000B4CB7" w14:paraId="367C890C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9E0BA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30BAD7" w14:textId="62691A8E" w:rsidR="00D2584E" w:rsidRPr="000B4CB7" w:rsidRDefault="00D53C2F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48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oygacha</w:t>
            </w:r>
            <w:proofErr w:type="spellEnd"/>
          </w:p>
        </w:tc>
      </w:tr>
      <w:tr w:rsidR="00D2584E" w:rsidRPr="001050CE" w14:paraId="1DBE7FCD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25B0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7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8A7123" w14:textId="4FA09740" w:rsidR="00D2584E" w:rsidRPr="000B4CB7" w:rsidRDefault="003A3CF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24</w:t>
            </w:r>
            <w:r w:rsid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-25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%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foiz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ko‘rinishida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230689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>___________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1050CE" w14:paraId="2DD4336E" w14:textId="77777777" w:rsidTr="000B4CAD">
        <w:tc>
          <w:tcPr>
            <w:tcW w:w="5000" w:type="pct"/>
            <w:gridSpan w:val="3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9A0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____________________ _______________________ ________________________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+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=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summa)</w:t>
            </w:r>
          </w:p>
        </w:tc>
      </w:tr>
      <w:tr w:rsidR="00D2584E" w:rsidRPr="001050CE" w14:paraId="63FC532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C5CED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9DCE3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16FFB816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0F6DF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FA724D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D2584E" w:rsidRPr="000B4CB7" w14:paraId="47F3E5E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5DBBD" w14:textId="77777777" w:rsidR="00D2584E" w:rsidRPr="004525DE" w:rsidRDefault="00D2584E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0BC0E4" w14:textId="77777777" w:rsidR="00D2584E" w:rsidRPr="000B4CB7" w:rsidRDefault="00D2584E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0B4CB7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D2584E" w:rsidRPr="001050CE" w14:paraId="73282F0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C8EC7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23BD7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1050CE" w14:paraId="7A451493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A0431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ta’minotchisi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bank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3A5114" w14:textId="77777777" w:rsidR="00D2584E" w:rsidRPr="004525DE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Naqd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pulda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yoki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qarz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oluvchining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nomiga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ochilgan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plastik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kartasiga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o‘tkazib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berish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orqali</w:t>
            </w:r>
          </w:p>
        </w:tc>
      </w:tr>
      <w:tr w:rsidR="00D2584E" w:rsidRPr="001050CE" w14:paraId="60857BF8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3340F7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501D6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1050CE" w14:paraId="0FA0824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1BAB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953F0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1050CE" w14:paraId="591BEEF1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B3C71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E9DEF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1050CE" w14:paraId="5203D00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AA706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A661D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646B1EE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5006A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C8019" w14:textId="36FD0EEA" w:rsidR="00D2584E" w:rsidRPr="000B4CB7" w:rsidRDefault="001D55DD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bank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ish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kuni</w:t>
            </w:r>
          </w:p>
        </w:tc>
      </w:tr>
      <w:tr w:rsidR="00D2584E" w:rsidRPr="001050CE" w14:paraId="6966716C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8DDD0F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2-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D2584E" w:rsidRPr="001050CE" w14:paraId="6572A9E5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A2882" w14:textId="77777777" w:rsidR="00D2584E" w:rsidRPr="001050C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90C8C2" w14:textId="77777777" w:rsidR="00D2584E" w:rsidRPr="001050C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_____________________________________________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Pr="001050C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0B4CB7" w14:paraId="4F70560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EC93E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3CDDA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</w:rPr>
              <w:t>__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DLO 1.5</w:t>
            </w:r>
            <w:r w:rsidRPr="000B4CB7">
              <w:rPr>
                <w:color w:val="000000"/>
                <w:sz w:val="20"/>
                <w:szCs w:val="20"/>
              </w:rPr>
              <w:t>__</w:t>
            </w:r>
          </w:p>
          <w:p w14:paraId="042D0DA0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584E" w:rsidRPr="001050CE" w14:paraId="4A284740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A1B03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4F5306" w14:textId="0E30DE2E" w:rsidR="001050CE" w:rsidRDefault="001050CE" w:rsidP="001050CE">
            <w:pPr>
              <w:pStyle w:val="a8"/>
              <w:keepLines/>
              <w:tabs>
                <w:tab w:val="left" w:pos="198"/>
              </w:tabs>
              <w:ind w:left="194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050C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Taʻminotning miqdori kredit summasining 125 foizidan kam boʻlmasligi lozim</w:t>
            </w:r>
            <w:r w:rsidRPr="003F7E4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  <w:p w14:paraId="5B206F8A" w14:textId="5E111494" w:rsidR="001050CE" w:rsidRPr="001050CE" w:rsidRDefault="001050CE" w:rsidP="001050CE">
            <w:pPr>
              <w:pStyle w:val="a8"/>
              <w:keepLines/>
              <w:numPr>
                <w:ilvl w:val="0"/>
                <w:numId w:val="3"/>
              </w:numPr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050C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mikroqarz mablag‘i qaytmaslik xatarini sugʻurta qilinganligi bo’yicha sugʻurta polisi;</w:t>
            </w:r>
          </w:p>
          <w:p w14:paraId="0663F08E" w14:textId="77777777" w:rsidR="001050CE" w:rsidRPr="001050CE" w:rsidRDefault="001050CE" w:rsidP="001050CE">
            <w:pPr>
              <w:pStyle w:val="a8"/>
              <w:keepLines/>
              <w:numPr>
                <w:ilvl w:val="0"/>
                <w:numId w:val="3"/>
              </w:numPr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050C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jismoniy shaxs kafilligi</w:t>
            </w:r>
            <w:r w:rsidRPr="001050CE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>.</w:t>
            </w:r>
          </w:p>
          <w:p w14:paraId="0BC61BE1" w14:textId="43102EE2" w:rsidR="00D2584E" w:rsidRPr="001050CE" w:rsidRDefault="001050CE" w:rsidP="001050CE">
            <w:pPr>
              <w:keepLines/>
              <w:tabs>
                <w:tab w:val="left" w:pos="198"/>
              </w:tabs>
              <w:ind w:left="40" w:firstLine="12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1050CE">
              <w:rPr>
                <w:sz w:val="20"/>
                <w:szCs w:val="20"/>
                <w:lang w:val="uz-Cyrl-UZ"/>
              </w:rPr>
              <w:lastRenderedPageBreak/>
              <w:t>-</w:t>
            </w:r>
            <w:r w:rsidRPr="001050CE">
              <w:rPr>
                <w:sz w:val="20"/>
                <w:szCs w:val="20"/>
                <w:lang w:val="uz-Cyrl-UZ"/>
              </w:rPr>
              <w:tab/>
              <w:t>mol-mulk garovi (noturar joy, ishlab chiqarilganiga 5 yildan oshmagan avtotransport vositasi)</w:t>
            </w:r>
          </w:p>
        </w:tc>
      </w:tr>
      <w:tr w:rsidR="00D2584E" w:rsidRPr="001050CE" w14:paraId="3849D609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424B2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050CE" w14:paraId="664A58C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A4D9F6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D2584E" w:rsidRPr="001050CE" w14:paraId="53BB027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3DB7A5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1050CE" w14:paraId="77B8F9D5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5B758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1050CE" w14:paraId="057B5851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5644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DF7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D0A78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B6E0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3142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B96D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9CEE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80DC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BBC1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8C78F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03D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42DE4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55E49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305C4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515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ACEA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A979A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C44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0680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333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B0EF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AE03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F7A14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3D73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946DC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44AE2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DB05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76D94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7A61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FCE8C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050CE" w14:paraId="52B53F7A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7C11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B85D6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E36F5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3418C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85E6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3A0E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3DB04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F8F6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CF11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CA63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2B6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ABD8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050CE" w14:paraId="35F7BF31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112F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50AF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3FAF2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6F02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7D01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5EED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7D5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37F48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C163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DD008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6A8FB0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73FC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0B4CB7" w14:paraId="40AA634D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6E903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F90E2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85EE2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EA6B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1E6BB5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16E5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715A8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E11BD7E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B069A5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1D5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D508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0789D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ECC93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AFF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2819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0F0F03CE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9F63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B88E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4540D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D6079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ED49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1A34D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6A50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ABD9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CC0F4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721F4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6F1D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1963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D283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CD63F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817A6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40F88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8A9D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CDA30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4C55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4A86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FD378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492F0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9D333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1EC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94A4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6502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1222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CA85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64AA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E53AD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236144D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1A41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FFC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21985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DE1BF9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E3D5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7628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01063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59785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6AE9E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B977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0E563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E7FB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602A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E131A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3A1A0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06246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AFB91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5DA01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D39D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53B67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8C69F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CA2E7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5E0E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72BF7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26EF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B6242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94B55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FDC3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2F465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A997E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1E6D2C0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B580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002CC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2A52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45F732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291DF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E8C2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0399B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2C203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DD0D8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5D31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E1DA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354AA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E4D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67576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04C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D78F6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A54BF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61267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0E73B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7AC38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AC99F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9A827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8D3B1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2001D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F2BE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E1BA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C6DDE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CE9A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DB63C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8EF20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905700" w14:textId="77777777" w:rsidR="009B5400" w:rsidRDefault="009B5400" w:rsidP="00D2584E">
      <w:pPr>
        <w:shd w:val="clear" w:color="auto" w:fill="FFFFFF"/>
        <w:ind w:firstLine="851"/>
        <w:jc w:val="both"/>
      </w:pPr>
    </w:p>
    <w:sectPr w:rsidR="009B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AD5B82"/>
    <w:multiLevelType w:val="hybridMultilevel"/>
    <w:tmpl w:val="D34E0614"/>
    <w:lvl w:ilvl="0" w:tplc="2940C8E0">
      <w:start w:val="2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0"/>
    <w:rsid w:val="001050CE"/>
    <w:rsid w:val="001D55DD"/>
    <w:rsid w:val="00272FDD"/>
    <w:rsid w:val="003A3CF1"/>
    <w:rsid w:val="0040186C"/>
    <w:rsid w:val="006366D6"/>
    <w:rsid w:val="00655CA0"/>
    <w:rsid w:val="00734067"/>
    <w:rsid w:val="00837562"/>
    <w:rsid w:val="00880B9A"/>
    <w:rsid w:val="008B2BA9"/>
    <w:rsid w:val="008E604E"/>
    <w:rsid w:val="009B5400"/>
    <w:rsid w:val="00D2584E"/>
    <w:rsid w:val="00D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6E7"/>
  <w15:chartTrackingRefBased/>
  <w15:docId w15:val="{718F362F-B081-479D-B9DD-B04C356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4E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84E"/>
    <w:rPr>
      <w:b/>
      <w:bCs/>
    </w:rPr>
  </w:style>
  <w:style w:type="character" w:styleId="a4">
    <w:name w:val="Emphasis"/>
    <w:basedOn w:val="a0"/>
    <w:uiPriority w:val="20"/>
    <w:qFormat/>
    <w:rsid w:val="00D2584E"/>
    <w:rPr>
      <w:i/>
      <w:iCs/>
    </w:rPr>
  </w:style>
  <w:style w:type="character" w:styleId="a5">
    <w:name w:val="Hyperlink"/>
    <w:basedOn w:val="a0"/>
    <w:uiPriority w:val="99"/>
    <w:unhideWhenUsed/>
    <w:rsid w:val="00D2584E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D2584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2584E"/>
    <w:rPr>
      <w:rFonts w:ascii="Segoe UI" w:hAnsi="Segoe UI" w:cs="Segoe UI"/>
      <w:sz w:val="18"/>
      <w:szCs w:val="18"/>
    </w:rPr>
  </w:style>
  <w:style w:type="paragraph" w:styleId="a8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9"/>
    <w:uiPriority w:val="34"/>
    <w:qFormat/>
    <w:rsid w:val="001050CE"/>
    <w:pPr>
      <w:suppressAutoHyphens/>
      <w:ind w:left="720"/>
    </w:pPr>
    <w:rPr>
      <w:rFonts w:ascii="Arial" w:eastAsia="Arial" w:hAnsi="Arial" w:cs="Tahoma"/>
      <w:kern w:val="1"/>
      <w:sz w:val="22"/>
      <w:szCs w:val="22"/>
      <w:lang w:val="en-US" w:eastAsia="ar-SA"/>
    </w:rPr>
  </w:style>
  <w:style w:type="character" w:customStyle="1" w:styleId="a9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8"/>
    <w:uiPriority w:val="34"/>
    <w:qFormat/>
    <w:locked/>
    <w:rsid w:val="001050CE"/>
    <w:rPr>
      <w:rFonts w:ascii="Arial" w:eastAsia="Arial" w:hAnsi="Arial" w:cs="Tahoma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Ulug'bek Tilavov</cp:lastModifiedBy>
  <cp:revision>10</cp:revision>
  <dcterms:created xsi:type="dcterms:W3CDTF">2024-07-16T13:33:00Z</dcterms:created>
  <dcterms:modified xsi:type="dcterms:W3CDTF">2025-04-24T13:04:00Z</dcterms:modified>
</cp:coreProperties>
</file>