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6A22" w14:textId="77777777" w:rsidR="00D2584E" w:rsidRPr="004525DE" w:rsidRDefault="00D2584E" w:rsidP="00D2584E">
      <w:pPr>
        <w:shd w:val="clear" w:color="auto" w:fill="FFFFFF"/>
        <w:jc w:val="center"/>
        <w:rPr>
          <w:rFonts w:eastAsia="Times New Roman"/>
          <w:b/>
          <w:bCs/>
          <w:color w:val="000080"/>
          <w:sz w:val="20"/>
          <w:szCs w:val="20"/>
          <w:lang w:val="en-US"/>
        </w:rPr>
      </w:pPr>
      <w:proofErr w:type="spellStart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Kreditning</w:t>
      </w:r>
      <w:proofErr w:type="spellEnd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 xml:space="preserve"> </w:t>
      </w:r>
      <w:proofErr w:type="spellStart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asosiy</w:t>
      </w:r>
      <w:proofErr w:type="spellEnd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 xml:space="preserve"> </w:t>
      </w:r>
      <w:proofErr w:type="spellStart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shartlari</w:t>
      </w:r>
      <w:proofErr w:type="spellEnd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 xml:space="preserve"> </w:t>
      </w:r>
      <w:proofErr w:type="spellStart"/>
      <w:proofErr w:type="gramStart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to‘</w:t>
      </w:r>
      <w:proofErr w:type="gramEnd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g‘risidagi</w:t>
      </w:r>
      <w:proofErr w:type="spellEnd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 xml:space="preserve"> </w:t>
      </w:r>
      <w:proofErr w:type="spellStart"/>
      <w:r w:rsidRPr="004525DE">
        <w:rPr>
          <w:rFonts w:eastAsia="Times New Roman"/>
          <w:b/>
          <w:bCs/>
          <w:color w:val="000080"/>
          <w:sz w:val="20"/>
          <w:szCs w:val="20"/>
          <w:lang w:val="en-US"/>
        </w:rPr>
        <w:t>axborot</w:t>
      </w:r>
      <w:proofErr w:type="spellEnd"/>
    </w:p>
    <w:p w14:paraId="45C299F4" w14:textId="77777777" w:rsidR="00D2584E" w:rsidRPr="000B4CB7" w:rsidRDefault="00D2584E" w:rsidP="00D2584E">
      <w:pPr>
        <w:shd w:val="clear" w:color="auto" w:fill="FFFFFF"/>
        <w:jc w:val="center"/>
        <w:rPr>
          <w:rFonts w:eastAsia="Times New Roman"/>
          <w:caps/>
          <w:color w:val="000080"/>
          <w:sz w:val="20"/>
          <w:szCs w:val="20"/>
        </w:rPr>
      </w:pPr>
      <w:r>
        <w:rPr>
          <w:rFonts w:eastAsia="Times New Roman"/>
          <w:caps/>
          <w:color w:val="000080"/>
          <w:sz w:val="20"/>
          <w:szCs w:val="20"/>
        </w:rPr>
        <w:t>VARAQASI</w:t>
      </w:r>
      <w:hyperlink r:id="rId5" w:history="1">
        <w:r w:rsidRPr="000B4CB7">
          <w:rPr>
            <w:rFonts w:eastAsia="Times New Roman"/>
            <w:caps/>
            <w:color w:val="008080"/>
            <w:sz w:val="20"/>
            <w:szCs w:val="20"/>
          </w:rPr>
          <w:t>*</w:t>
        </w:r>
      </w:hyperlink>
    </w:p>
    <w:tbl>
      <w:tblPr>
        <w:tblW w:w="514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60"/>
        <w:gridCol w:w="347"/>
        <w:gridCol w:w="333"/>
        <w:gridCol w:w="324"/>
        <w:gridCol w:w="308"/>
        <w:gridCol w:w="299"/>
        <w:gridCol w:w="289"/>
        <w:gridCol w:w="281"/>
        <w:gridCol w:w="273"/>
        <w:gridCol w:w="264"/>
        <w:gridCol w:w="254"/>
        <w:gridCol w:w="250"/>
        <w:gridCol w:w="245"/>
        <w:gridCol w:w="250"/>
        <w:gridCol w:w="304"/>
        <w:gridCol w:w="302"/>
        <w:gridCol w:w="300"/>
        <w:gridCol w:w="299"/>
        <w:gridCol w:w="65"/>
        <w:gridCol w:w="497"/>
        <w:gridCol w:w="360"/>
        <w:gridCol w:w="347"/>
        <w:gridCol w:w="333"/>
        <w:gridCol w:w="324"/>
        <w:gridCol w:w="320"/>
        <w:gridCol w:w="403"/>
        <w:gridCol w:w="372"/>
        <w:gridCol w:w="352"/>
        <w:gridCol w:w="601"/>
      </w:tblGrid>
      <w:tr w:rsidR="00D2584E" w:rsidRPr="000B4CB7" w14:paraId="09E6FE4C" w14:textId="77777777" w:rsidTr="00D2584E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5990C5E" w14:textId="77777777" w:rsidR="00D2584E" w:rsidRPr="000B4CB7" w:rsidRDefault="00D2584E" w:rsidP="000B4CAD">
            <w:pPr>
              <w:shd w:val="clear" w:color="auto" w:fill="FFFFFF"/>
              <w:jc w:val="center"/>
              <w:rPr>
                <w:rFonts w:eastAsia="Times New Roman"/>
                <w:caps/>
                <w:color w:val="000080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7C4D1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A718A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6933F5" w14:textId="77777777" w:rsidR="00D2584E" w:rsidRPr="000B4CB7" w:rsidRDefault="00D2584E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9FAF274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342BA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7C560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BFD1DC9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6CA0A8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A5C119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91BAF69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253C04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7C3C7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27B6D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9DE5E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8A285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B3B2FE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8A9B2FF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44A0B4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D5D87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DEBE4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366A3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4963B5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70482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8C292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414819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BD047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61AF1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D87A980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7E8CA8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584E" w:rsidRPr="00880B9A" w14:paraId="488668C2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DB66759" w14:textId="77777777" w:rsidR="00D2584E" w:rsidRPr="004525DE" w:rsidRDefault="00D2584E" w:rsidP="00D2584E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Tijorat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bankining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rasmiy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veb-sayti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telefon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raqamlari</w:t>
            </w:r>
            <w:proofErr w:type="spellEnd"/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2D30E43" w14:textId="77777777" w:rsidR="00D2584E" w:rsidRDefault="00D2584E" w:rsidP="00D2584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“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Biznesni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rivojlantirish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banki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>” ATB</w:t>
            </w:r>
          </w:p>
          <w:p w14:paraId="35D7033F" w14:textId="77777777" w:rsidR="00D2584E" w:rsidRDefault="00D2584E" w:rsidP="00D2584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Sayt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>: www.brb.uz</w:t>
            </w:r>
          </w:p>
          <w:p w14:paraId="14A458BD" w14:textId="77777777" w:rsidR="00D2584E" w:rsidRDefault="00D2584E" w:rsidP="00D2584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Email: headoffice@brb.uz</w:t>
            </w:r>
          </w:p>
          <w:p w14:paraId="59C3D31A" w14:textId="7FECFDC2" w:rsidR="00D2584E" w:rsidRPr="000B4CB7" w:rsidRDefault="00D2584E" w:rsidP="00D2584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color w:val="000000"/>
                <w:lang w:val="en-US"/>
              </w:rPr>
              <w:t>Tel: (78) 150-00-</w:t>
            </w:r>
            <w:proofErr w:type="gramStart"/>
            <w:r>
              <w:rPr>
                <w:rFonts w:eastAsia="Times New Roman"/>
                <w:color w:val="000000"/>
                <w:lang w:val="en-US"/>
              </w:rPr>
              <w:t>55  Tel</w:t>
            </w:r>
            <w:proofErr w:type="gramEnd"/>
            <w:r>
              <w:rPr>
                <w:rFonts w:eastAsia="Times New Roman"/>
                <w:color w:val="000000"/>
                <w:lang w:val="en-US"/>
              </w:rPr>
              <w:t>: 1254</w:t>
            </w:r>
          </w:p>
        </w:tc>
      </w:tr>
      <w:tr w:rsidR="00D2584E" w:rsidRPr="00880B9A" w14:paraId="75696794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6DABEC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2584E" w:rsidRPr="00356DD1" w14:paraId="0990F28D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B799B7" w14:textId="77777777" w:rsidR="00D2584E" w:rsidRPr="004525DE" w:rsidRDefault="00D2584E" w:rsidP="000B4CA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1-</w:t>
            </w:r>
            <w:proofErr w:type="gram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lim.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bo‘yicha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ma’lumotlar</w:t>
            </w:r>
            <w:proofErr w:type="spellEnd"/>
          </w:p>
        </w:tc>
      </w:tr>
      <w:tr w:rsidR="00D2584E" w:rsidRPr="000B4CB7" w14:paraId="4C58B30F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B5C25F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Kreditning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turi</w:t>
            </w:r>
            <w:proofErr w:type="spellEnd"/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EE845E" w14:textId="452FD5AB" w:rsidR="00D2584E" w:rsidRPr="000B4CB7" w:rsidRDefault="00356DD1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56DD1">
              <w:rPr>
                <w:rFonts w:eastAsia="Times New Roman"/>
                <w:color w:val="000000"/>
                <w:sz w:val="20"/>
                <w:szCs w:val="20"/>
              </w:rPr>
              <w:t>“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Ta’lim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orzusi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mikroqarz</w:t>
            </w:r>
            <w:proofErr w:type="spellEnd"/>
          </w:p>
        </w:tc>
      </w:tr>
      <w:tr w:rsidR="00D2584E" w:rsidRPr="000B4CB7" w14:paraId="21E5C324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DA2709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Kreditning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maqsadi</w:t>
            </w:r>
            <w:proofErr w:type="spellEnd"/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9183CEB" w14:textId="00EF8D9B" w:rsidR="00D2584E" w:rsidRPr="000B4CB7" w:rsidRDefault="00356DD1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Taʼlim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tashkilotida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tahsil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olish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maqsadida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bakalavr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hamda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magistraturaning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kunduzgi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sirtqi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va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kechki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taʼlim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shaklida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hamda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tabaqalashtirilgan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toʼlov-kontrakt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asosida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oʼqishga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tavsiya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etilgan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yoki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qabul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qilingan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talabalar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shuningdek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oʼquv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kurslarida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tahsil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olayotgan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o’quvchilarning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ta’lim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olishlari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</w:rPr>
              <w:t>uchun</w:t>
            </w:r>
            <w:proofErr w:type="spellEnd"/>
          </w:p>
        </w:tc>
      </w:tr>
      <w:tr w:rsidR="00D2584E" w:rsidRPr="000B4CB7" w14:paraId="32B2B387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7BF64D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Kreditning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miqdori</w:t>
            </w:r>
            <w:proofErr w:type="spellEnd"/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4457A6" w14:textId="77777777" w:rsidR="00356DD1" w:rsidRPr="00356DD1" w:rsidRDefault="00356DD1" w:rsidP="00356DD1">
            <w:pPr>
              <w:jc w:val="center"/>
              <w:rPr>
                <w:sz w:val="20"/>
                <w:szCs w:val="20"/>
                <w:lang w:val="uz-Latn-UZ"/>
              </w:rPr>
            </w:pPr>
            <w:r w:rsidRPr="00356DD1">
              <w:rPr>
                <w:sz w:val="20"/>
                <w:szCs w:val="20"/>
                <w:lang w:val="uz-Latn-UZ"/>
              </w:rPr>
              <w:t xml:space="preserve">2,0 mln. soʼmdan 100 mln. soʼmgacha. </w:t>
            </w:r>
          </w:p>
          <w:p w14:paraId="5CA4A09E" w14:textId="64E366C0" w:rsidR="00D2584E" w:rsidRPr="000B4CB7" w:rsidRDefault="00356DD1" w:rsidP="00356D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56DD1">
              <w:rPr>
                <w:sz w:val="20"/>
                <w:szCs w:val="20"/>
                <w:lang w:val="uz-Latn-UZ"/>
              </w:rPr>
              <w:t>Bunda, qarz oluvchining boshqa banklarda mavjud barcha mikroqarz mablagʼlari qoldigʼi ham hisobga olinishi lozim.</w:t>
            </w:r>
          </w:p>
        </w:tc>
      </w:tr>
      <w:tr w:rsidR="00D2584E" w:rsidRPr="000B4CB7" w14:paraId="367C890C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C9E0BA0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Kreditdan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foydalanish</w:t>
            </w:r>
            <w:proofErr w:type="spellEnd"/>
            <w:r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muddati</w:t>
            </w:r>
            <w:proofErr w:type="spellEnd"/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30BAD7" w14:textId="2C0026C7" w:rsidR="00D2584E" w:rsidRPr="000B4CB7" w:rsidRDefault="00356DD1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12</w:t>
            </w:r>
            <w:r w:rsidR="008E604E">
              <w:rPr>
                <w:rFonts w:eastAsia="Times New Roman"/>
                <w:color w:val="000000"/>
                <w:sz w:val="20"/>
                <w:szCs w:val="20"/>
                <w:lang w:val="en-US"/>
              </w:rPr>
              <w:t>-</w:t>
            </w:r>
            <w:r w:rsidR="0040186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48</w:t>
            </w:r>
            <w:r w:rsidR="00D2584E"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2584E">
              <w:rPr>
                <w:rFonts w:eastAsia="Times New Roman"/>
                <w:color w:val="000000"/>
                <w:sz w:val="20"/>
                <w:szCs w:val="20"/>
              </w:rPr>
              <w:t>oygacha</w:t>
            </w:r>
            <w:proofErr w:type="spellEnd"/>
          </w:p>
        </w:tc>
      </w:tr>
      <w:tr w:rsidR="00D2584E" w:rsidRPr="00356DD1" w14:paraId="1DBE7FCD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A25B03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Kreditdan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foydalanish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davomidagi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stavkasi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(nominal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ushbu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to‘lanishi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lozim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summa</w:t>
            </w:r>
          </w:p>
        </w:tc>
        <w:tc>
          <w:tcPr>
            <w:tcW w:w="179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8A7123" w14:textId="01352DB0" w:rsidR="00D2584E" w:rsidRPr="000B4CB7" w:rsidRDefault="0040186C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2</w:t>
            </w:r>
            <w:r w:rsid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  <w:r w:rsidR="008E604E">
              <w:rPr>
                <w:rFonts w:eastAsia="Times New Roman"/>
                <w:color w:val="000000"/>
                <w:sz w:val="20"/>
                <w:szCs w:val="20"/>
                <w:lang w:val="en-US"/>
              </w:rPr>
              <w:t>-</w:t>
            </w:r>
            <w:r w:rsid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</w:t>
            </w:r>
            <w:r w:rsidR="008E604E">
              <w:rPr>
                <w:rFonts w:eastAsia="Times New Roman"/>
                <w:color w:val="000000"/>
                <w:sz w:val="20"/>
                <w:szCs w:val="20"/>
                <w:lang w:val="en-US"/>
              </w:rPr>
              <w:t>%</w:t>
            </w:r>
            <w:r w:rsidR="00D2584E" w:rsidRPr="000B4CB7">
              <w:rPr>
                <w:rFonts w:eastAsia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="00D2584E">
              <w:rPr>
                <w:rFonts w:eastAsia="Times New Roman"/>
                <w:color w:val="000000"/>
                <w:sz w:val="20"/>
                <w:szCs w:val="20"/>
              </w:rPr>
              <w:t>foiz</w:t>
            </w:r>
            <w:proofErr w:type="spellEnd"/>
            <w:r w:rsidR="00D2584E" w:rsidRPr="000B4CB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2584E">
              <w:rPr>
                <w:rFonts w:eastAsia="Times New Roman"/>
                <w:color w:val="000000"/>
                <w:sz w:val="20"/>
                <w:szCs w:val="20"/>
              </w:rPr>
              <w:t>ko‘</w:t>
            </w:r>
            <w:proofErr w:type="gramEnd"/>
            <w:r w:rsidR="00D2584E">
              <w:rPr>
                <w:rFonts w:eastAsia="Times New Roman"/>
                <w:color w:val="000000"/>
                <w:sz w:val="20"/>
                <w:szCs w:val="20"/>
              </w:rPr>
              <w:t>rinishida</w:t>
            </w:r>
            <w:proofErr w:type="spellEnd"/>
            <w:r w:rsidR="00D2584E" w:rsidRPr="000B4CB7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9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F230689" w14:textId="77777777" w:rsidR="00D2584E" w:rsidRPr="004525DE" w:rsidRDefault="00D2584E" w:rsidP="000B4CAD">
            <w:pPr>
              <w:rPr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color w:val="000000"/>
                <w:sz w:val="20"/>
                <w:szCs w:val="20"/>
                <w:lang w:val="en-US"/>
              </w:rPr>
              <w:t>___________</w:t>
            </w:r>
            <w:r w:rsidRPr="004525DE">
              <w:rPr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D2584E" w:rsidRPr="00356DD1" w14:paraId="2DD4336E" w14:textId="77777777" w:rsidTr="000B4CAD">
        <w:tc>
          <w:tcPr>
            <w:tcW w:w="5000" w:type="pct"/>
            <w:gridSpan w:val="30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39A0A2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6.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foydalanish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davomida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summa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____________________ _______________________ ________________________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 +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hisoblanadigan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 =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summa)</w:t>
            </w:r>
          </w:p>
        </w:tc>
      </w:tr>
      <w:tr w:rsidR="00D2584E" w:rsidRPr="00356DD1" w14:paraId="63FC532A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0C5CEDD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7.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imtiyozli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9DCE32" w14:textId="223B9BFD" w:rsidR="00D2584E" w:rsidRPr="004525DE" w:rsidRDefault="00356DD1" w:rsidP="00356DD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Koʻzda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>tutilmagan</w:t>
            </w:r>
            <w:proofErr w:type="spellEnd"/>
          </w:p>
        </w:tc>
      </w:tr>
      <w:tr w:rsidR="00D2584E" w:rsidRPr="000B4CB7" w14:paraId="16FFB816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0F6DF6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8.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lovlarning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davriyligi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oyda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chorakda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h.k.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FA724D" w14:textId="77777777" w:rsidR="00D2584E" w:rsidRPr="000B4CB7" w:rsidRDefault="00D2584E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Har</w:t>
            </w:r>
            <w:r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oyda</w:t>
            </w:r>
          </w:p>
        </w:tc>
      </w:tr>
      <w:tr w:rsidR="00D2584E" w:rsidRPr="000B4CB7" w14:paraId="47F3E5EF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45DBBD" w14:textId="77777777" w:rsidR="00D2584E" w:rsidRPr="004525DE" w:rsidRDefault="00D2584E" w:rsidP="000B4CAD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9.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Kreditni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color w:val="000000"/>
                <w:sz w:val="20"/>
                <w:szCs w:val="20"/>
                <w:lang w:val="en-US"/>
              </w:rPr>
              <w:t>so‘</w:t>
            </w:r>
            <w:proofErr w:type="gramEnd"/>
            <w:r w:rsidRPr="004525DE">
              <w:rPr>
                <w:color w:val="000000"/>
                <w:sz w:val="20"/>
                <w:szCs w:val="20"/>
                <w:lang w:val="en-US"/>
              </w:rPr>
              <w:t>ndirish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usuli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annuitet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teng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miqdorlarda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differensial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0BC0E4" w14:textId="77777777" w:rsidR="00D2584E" w:rsidRPr="000B4CB7" w:rsidRDefault="00D2584E" w:rsidP="000B4CA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Annuitet</w:t>
            </w:r>
            <w:proofErr w:type="spellEnd"/>
            <w:r w:rsidRPr="000B4CB7">
              <w:rPr>
                <w:color w:val="000000"/>
                <w:sz w:val="20"/>
                <w:szCs w:val="20"/>
                <w:lang w:val="uz-Cyrl-UZ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differensial</w:t>
            </w:r>
            <w:proofErr w:type="spellEnd"/>
          </w:p>
        </w:tc>
      </w:tr>
      <w:tr w:rsidR="00D2584E" w:rsidRPr="00356DD1" w14:paraId="73282F02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C8EC72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10.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lovlarning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davrida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bir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martalik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to‘lov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summasi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: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annuitet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differensial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usulida</w:t>
            </w:r>
            <w:proofErr w:type="spellEnd"/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123BD76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______________________________ ______________________________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oraliq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lovlaridan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eng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ko‘p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miqdordagi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to‘lov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D2584E" w:rsidRPr="00356DD1" w14:paraId="7A451493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A04314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11.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ajratish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shakli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mahsulot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xizmat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ta’minotchisi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hisobvarag‘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o‘tkazish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naqd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bank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kartasiga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o‘tkazish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h.k.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3A5114" w14:textId="3CFFE5CA" w:rsidR="00D2584E" w:rsidRPr="00356DD1" w:rsidRDefault="00356DD1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6DD1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Qarz oluvchi tomonidan bankka taqdim qilingan ta’lim (kontrakt) shartnomasiga asosa tegishli ta’lim tashkilotining hisob raqamiga pul o’tkazish yo’li bilan amalga oshiriladi.</w:t>
            </w:r>
          </w:p>
        </w:tc>
      </w:tr>
      <w:tr w:rsidR="00D2584E" w:rsidRPr="00356DD1" w14:paraId="60857BF8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3340F7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12.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bilan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bog‘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qo‘shimcha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xarajatlar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jumladan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bunday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xarajatlar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):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4501D6C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</w:t>
            </w:r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_(</w:t>
            </w:r>
            <w:proofErr w:type="spellStart"/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D2584E" w:rsidRPr="00356DD1" w14:paraId="0FA0824F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BF1BAB9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Turlari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komissiya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yig‘imlari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alohida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ko‘rsatilsin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953F0D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D2584E" w:rsidRPr="00356DD1" w14:paraId="591BEEF1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B3C71A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uchinchi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shaxslar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xizmati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alohida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rsatilsin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E9DEF9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pul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ko‘rinishida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D2584E" w:rsidRPr="00356DD1" w14:paraId="5203D004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FAA7064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13.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liq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qiymati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 xml:space="preserve">(nominal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stavkasini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xizmat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xarajatlarini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ichiga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A661D3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2584E" w:rsidRPr="000B4CB7" w14:paraId="646B1EEA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5006A9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14.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olish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taqdim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qilingan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arizani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ko‘rib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chiqish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muddati</w:t>
            </w:r>
            <w:proofErr w:type="spellEnd"/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1C8019" w14:textId="6EBC158F" w:rsidR="00D2584E" w:rsidRPr="000B4CB7" w:rsidRDefault="00356DD1" w:rsidP="000B4CA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3</w:t>
            </w:r>
            <w:r w:rsidR="00D2584E"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D2584E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bank</w:t>
            </w:r>
            <w:r w:rsidR="00D2584E"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D2584E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ish</w:t>
            </w:r>
            <w:r w:rsidR="00D2584E" w:rsidRPr="000B4CB7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  <w:r w:rsidR="00D2584E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kuni</w:t>
            </w:r>
          </w:p>
        </w:tc>
      </w:tr>
      <w:tr w:rsidR="00D2584E" w:rsidRPr="00356DD1" w14:paraId="6966716C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8DDD0F" w14:textId="77777777" w:rsidR="00D2584E" w:rsidRPr="004525DE" w:rsidRDefault="00D2584E" w:rsidP="000B4CA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2-</w:t>
            </w:r>
            <w:proofErr w:type="gram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lim.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Boshqa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moliyaviy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majburiyatlar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bilan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bog‘liq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muhim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shartlar</w:t>
            </w:r>
            <w:proofErr w:type="spellEnd"/>
          </w:p>
        </w:tc>
      </w:tr>
      <w:tr w:rsidR="00D2584E" w:rsidRPr="00356DD1" w14:paraId="6572A9E5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1A2882" w14:textId="77777777" w:rsidR="00D2584E" w:rsidRPr="00356DD1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qarzdorlik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</w:t>
            </w:r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z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vaqtida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so</w:t>
            </w:r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ndirilmaganligi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shartnomada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</w:t>
            </w:r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zda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tutilayotgan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</w:t>
            </w:r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lashi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lozim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lgan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neustoyka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jarima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penya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>) (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agar</w:t>
            </w:r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bunday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lsa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90C8C2" w14:textId="77777777" w:rsidR="00D2584E" w:rsidRPr="00356DD1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>_____________________________________________</w:t>
            </w:r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yoki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qatiy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belgilangan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summa</w:t>
            </w:r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</w:t>
            </w:r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rsatiladi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shuningdek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neustoyka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jarima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penya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hisoblash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asos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</w:t>
            </w:r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>‘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luvchi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shartnoma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shartlari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keltiriladi</w:t>
            </w:r>
            <w:proofErr w:type="spellEnd"/>
            <w:r w:rsidRPr="00356DD1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D2584E" w:rsidRPr="000B4CB7" w14:paraId="4F70560A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EC93EC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yicha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qarzdorlik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o‘z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vaqtida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so‘ndirilmaganligi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uchun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summasidan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to‘lanadigan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oshirilgan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stavkasi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miqdori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 xml:space="preserve">(agar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bunday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shart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F3CDDA" w14:textId="77777777" w:rsidR="00D2584E" w:rsidRPr="000B4CB7" w:rsidRDefault="00D2584E" w:rsidP="000B4CAD">
            <w:pPr>
              <w:jc w:val="center"/>
              <w:rPr>
                <w:color w:val="000000"/>
                <w:sz w:val="20"/>
                <w:szCs w:val="20"/>
              </w:rPr>
            </w:pPr>
            <w:r w:rsidRPr="004525DE">
              <w:rPr>
                <w:color w:val="000000"/>
                <w:sz w:val="20"/>
                <w:szCs w:val="20"/>
                <w:lang w:val="en-US"/>
              </w:rPr>
              <w:br/>
            </w:r>
            <w:r w:rsidRPr="000B4CB7">
              <w:rPr>
                <w:color w:val="000000"/>
                <w:sz w:val="20"/>
                <w:szCs w:val="20"/>
              </w:rPr>
              <w:t>__</w:t>
            </w:r>
            <w:r w:rsidRPr="000B4CB7">
              <w:rPr>
                <w:color w:val="000000"/>
                <w:sz w:val="20"/>
                <w:szCs w:val="20"/>
                <w:lang w:val="en-US"/>
              </w:rPr>
              <w:t>DLO 1.5</w:t>
            </w:r>
            <w:r w:rsidRPr="000B4CB7">
              <w:rPr>
                <w:color w:val="000000"/>
                <w:sz w:val="20"/>
                <w:szCs w:val="20"/>
              </w:rPr>
              <w:t>__</w:t>
            </w:r>
          </w:p>
          <w:p w14:paraId="042D0DA0" w14:textId="77777777" w:rsidR="00D2584E" w:rsidRPr="000B4CB7" w:rsidRDefault="00D2584E" w:rsidP="000B4CAD">
            <w:pPr>
              <w:jc w:val="center"/>
              <w:rPr>
                <w:color w:val="000000"/>
                <w:sz w:val="20"/>
                <w:szCs w:val="20"/>
              </w:rPr>
            </w:pPr>
            <w:r w:rsidRPr="000B4CB7"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foizda</w:t>
            </w:r>
            <w:proofErr w:type="spellEnd"/>
            <w:r w:rsidRPr="000B4CB7">
              <w:rPr>
                <w:color w:val="000000"/>
                <w:sz w:val="20"/>
                <w:szCs w:val="20"/>
              </w:rPr>
              <w:t>)</w:t>
            </w:r>
          </w:p>
        </w:tc>
      </w:tr>
      <w:tr w:rsidR="00D2584E" w:rsidRPr="00356DD1" w14:paraId="4A284740" w14:textId="77777777" w:rsidTr="00D2584E">
        <w:tc>
          <w:tcPr>
            <w:tcW w:w="231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A1B033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lastRenderedPageBreak/>
              <w:t xml:space="preserve">3.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ta’minoti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ta’minot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predmetiga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yiladigan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minimal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talablar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garovning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minimal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qiymati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0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49B1E55" w14:textId="77777777" w:rsidR="00356DD1" w:rsidRPr="00356DD1" w:rsidRDefault="00356DD1" w:rsidP="00356DD1">
            <w:pPr>
              <w:keepLines/>
              <w:tabs>
                <w:tab w:val="left" w:pos="198"/>
              </w:tabs>
              <w:ind w:left="40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>Ajratiladigan</w:t>
            </w:r>
            <w:proofErr w:type="spellEnd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>mikroqarz</w:t>
            </w:r>
            <w:proofErr w:type="spellEnd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>mablagi</w:t>
            </w:r>
            <w:proofErr w:type="spellEnd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>summasidan</w:t>
            </w:r>
            <w:proofErr w:type="spellEnd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>kelib</w:t>
            </w:r>
            <w:proofErr w:type="spellEnd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>chiqib</w:t>
            </w:r>
            <w:proofErr w:type="spellEnd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>:</w:t>
            </w:r>
          </w:p>
          <w:p w14:paraId="3DE76378" w14:textId="77777777" w:rsidR="00356DD1" w:rsidRPr="00356DD1" w:rsidRDefault="00356DD1" w:rsidP="00356DD1">
            <w:pPr>
              <w:keepLines/>
              <w:tabs>
                <w:tab w:val="left" w:pos="198"/>
              </w:tabs>
              <w:ind w:left="40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 xml:space="preserve">* 30 </w:t>
            </w:r>
            <w:proofErr w:type="spellStart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>mln.so’mgacha</w:t>
            </w:r>
            <w:proofErr w:type="spellEnd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>qaytmasligi</w:t>
            </w:r>
            <w:proofErr w:type="spellEnd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>xatarini</w:t>
            </w:r>
            <w:proofErr w:type="spellEnd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>sugʻurta</w:t>
            </w:r>
            <w:proofErr w:type="spellEnd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>qilinganligi</w:t>
            </w:r>
            <w:proofErr w:type="spellEnd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>toʻgʻrisida</w:t>
            </w:r>
            <w:proofErr w:type="spellEnd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>sugʻurta</w:t>
            </w:r>
            <w:proofErr w:type="spellEnd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>polisi</w:t>
            </w:r>
            <w:proofErr w:type="spellEnd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>;</w:t>
            </w:r>
          </w:p>
          <w:p w14:paraId="0BC61BE1" w14:textId="70DFD319" w:rsidR="00D2584E" w:rsidRPr="00837562" w:rsidRDefault="00356DD1" w:rsidP="00356DD1">
            <w:pPr>
              <w:keepLines/>
              <w:tabs>
                <w:tab w:val="left" w:pos="198"/>
              </w:tabs>
              <w:ind w:left="40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 xml:space="preserve">*100 </w:t>
            </w:r>
            <w:proofErr w:type="spellStart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>mln.so’mgacha</w:t>
            </w:r>
            <w:proofErr w:type="spellEnd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 xml:space="preserve"> - mol-</w:t>
            </w:r>
            <w:proofErr w:type="spellStart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>mulk</w:t>
            </w:r>
            <w:proofErr w:type="spellEnd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>garovi</w:t>
            </w:r>
            <w:proofErr w:type="spellEnd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>noturar</w:t>
            </w:r>
            <w:proofErr w:type="spellEnd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 xml:space="preserve"> joy, </w:t>
            </w:r>
            <w:proofErr w:type="spellStart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>ishlab</w:t>
            </w:r>
            <w:proofErr w:type="spellEnd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>chiqarilganiga</w:t>
            </w:r>
            <w:proofErr w:type="spellEnd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>yildan</w:t>
            </w:r>
            <w:proofErr w:type="spellEnd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>oshmagan</w:t>
            </w:r>
            <w:proofErr w:type="spellEnd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>avtotransport</w:t>
            </w:r>
            <w:proofErr w:type="spellEnd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>vositasi</w:t>
            </w:r>
            <w:proofErr w:type="spellEnd"/>
            <w:r w:rsidRPr="00356DD1">
              <w:rPr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D2584E" w:rsidRPr="00356DD1" w14:paraId="3849D609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424B27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2584E" w:rsidRPr="00356DD1" w14:paraId="664A58CE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A4D9F6" w14:textId="77777777" w:rsidR="00D2584E" w:rsidRPr="004525DE" w:rsidRDefault="00D2584E" w:rsidP="000B4CA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olishga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rozi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lishdan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oldin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diqqat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bilan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o‘rganib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chiqing</w:t>
            </w:r>
            <w:proofErr w:type="spellEnd"/>
            <w:r w:rsidRPr="004525DE">
              <w:rPr>
                <w:rStyle w:val="a3"/>
                <w:color w:val="000000"/>
                <w:sz w:val="20"/>
                <w:szCs w:val="20"/>
                <w:lang w:val="en-US"/>
              </w:rPr>
              <w:t>!</w:t>
            </w:r>
          </w:p>
        </w:tc>
      </w:tr>
      <w:tr w:rsidR="00D2584E" w:rsidRPr="00356DD1" w14:paraId="53BB027E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3DB7A5" w14:textId="77777777" w:rsidR="00D2584E" w:rsidRPr="004525DE" w:rsidRDefault="00D2584E" w:rsidP="000B4CAD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kreditning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shartlari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qiymati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color w:val="000000"/>
                <w:sz w:val="20"/>
                <w:szCs w:val="20"/>
                <w:lang w:val="en-US"/>
              </w:rPr>
              <w:t>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to‘lovlar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hisob-kitoblar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tartibi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foizlar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jarima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penyalar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shartnomasi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bo‘yicha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Sizning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huquqlaringiz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majburiyatlaringiz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kredit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shartnomasi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bo‘yicha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yuzaga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kelishi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mumkin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bo‘lgan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xatarlar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javobgarliklar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to‘g‘risida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shuningdek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Sizga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tushunarsiz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bo‘lgan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boshqa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masalalar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yuzasidan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bankdan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to‘liq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batafsil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ma’lumot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olishga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color w:val="000000"/>
                <w:sz w:val="20"/>
                <w:szCs w:val="20"/>
                <w:lang w:val="en-US"/>
              </w:rPr>
              <w:t>haqlisiz</w:t>
            </w:r>
            <w:proofErr w:type="spellEnd"/>
            <w:r w:rsidRPr="004525DE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D2584E" w:rsidRPr="00356DD1" w14:paraId="77B8F9D5" w14:textId="77777777" w:rsidTr="000B4CAD"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85B758A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Agar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Sizda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shikoyatlar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mavjud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lsa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u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holda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Siz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murojaatingizni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telefon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raqami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raqamli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telefonga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yoki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pochta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yoki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elektron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pochtasi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ko‘rsatiladi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elektron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manzilga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jo‘natishingiz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mumkin</w:t>
            </w:r>
            <w:proofErr w:type="spell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D2584E" w:rsidRPr="00356DD1" w14:paraId="057B5851" w14:textId="77777777" w:rsidTr="00D2584E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556442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F3DF76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D0A781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B6E099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D3142A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7B96D26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9CEEC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80DC99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9BBC1D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8C78FA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90A03DC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42DE46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55E49F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A305C4A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C515168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6ACEA68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A979A4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AC4499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D0680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F333168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9FB0EFD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7AE031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F7A14C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F3D738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946DCB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344AE2E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DB05B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76D947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7A618B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FCE8C9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2584E" w:rsidRPr="00356DD1" w14:paraId="52B53F7A" w14:textId="77777777" w:rsidTr="00D2584E">
        <w:tc>
          <w:tcPr>
            <w:tcW w:w="293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F7C11D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AXBOROT VARAQASINING </w:t>
            </w:r>
            <w:proofErr w:type="gramStart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t>G‘RILIGI</w:t>
            </w:r>
            <w:r w:rsidRPr="004525DE">
              <w:rPr>
                <w:rFonts w:eastAsia="Times New Roman"/>
                <w:color w:val="000000"/>
                <w:sz w:val="20"/>
                <w:szCs w:val="20"/>
                <w:lang w:val="en-US"/>
              </w:rPr>
              <w:br/>
              <w:t>VA HAQIQIYLIGI TASDIQLANADI.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B85D63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E36F5E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3418CD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AA85E64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3A0E26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3DB041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9F8F6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4CF11A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5CA635C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052B65C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2ABD8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2584E" w:rsidRPr="00356DD1" w14:paraId="35F7BF31" w14:textId="77777777" w:rsidTr="00D2584E">
        <w:tc>
          <w:tcPr>
            <w:tcW w:w="293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5112F3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50AFC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73FAF2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6F02B5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C7D011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85EED3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27D58B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37F484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3AC1637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DD008A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6A8FB0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173FCF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D2584E" w:rsidRPr="000B4CB7" w14:paraId="40AA634D" w14:textId="77777777" w:rsidTr="00D2584E">
        <w:tc>
          <w:tcPr>
            <w:tcW w:w="293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6E9037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>________________________________________________________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9F90E2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85EE2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0EA6B7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Fonts w:eastAsia="Times New Roman"/>
                <w:color w:val="000000"/>
                <w:sz w:val="20"/>
                <w:szCs w:val="20"/>
              </w:rPr>
              <w:t>__________________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1E6BB5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16E58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715A8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584E" w:rsidRPr="000B4CB7" w14:paraId="2E11BD7E" w14:textId="77777777" w:rsidTr="00D2584E">
        <w:tc>
          <w:tcPr>
            <w:tcW w:w="293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3B069A5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(</w:t>
            </w:r>
            <w:proofErr w:type="gram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bank</w:t>
            </w:r>
            <w:proofErr w:type="gram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mutaxassisining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F.I.Sh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va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lavozimi</w:t>
            </w:r>
            <w:proofErr w:type="spellEnd"/>
            <w:r w:rsidRPr="004525DE">
              <w:rPr>
                <w:rStyle w:val="a4"/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D1D5A2" w14:textId="77777777" w:rsidR="00D2584E" w:rsidRPr="004525DE" w:rsidRDefault="00D2584E" w:rsidP="000B4CAD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FD5089" w14:textId="77777777" w:rsidR="00D2584E" w:rsidRPr="004525DE" w:rsidRDefault="00D2584E" w:rsidP="000B4CAD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0789D0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B4CB7">
              <w:rPr>
                <w:rStyle w:val="a4"/>
                <w:rFonts w:eastAsia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to‘ldirilgan</w:t>
            </w:r>
            <w:proofErr w:type="spellEnd"/>
            <w:r w:rsidRPr="000B4CB7">
              <w:rPr>
                <w:rStyle w:val="a4"/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sana</w:t>
            </w:r>
            <w:proofErr w:type="spellEnd"/>
            <w:r w:rsidRPr="000B4CB7">
              <w:rPr>
                <w:rStyle w:val="a4"/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3ECC93" w14:textId="77777777" w:rsidR="00D2584E" w:rsidRPr="000B4CB7" w:rsidRDefault="00D2584E" w:rsidP="000B4CA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3AFF5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628194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584E" w:rsidRPr="000B4CB7" w14:paraId="0F0F03CE" w14:textId="77777777" w:rsidTr="00D2584E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99F637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B88EA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D4540D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D6079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ED491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1A34D9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36A50D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ABD9B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CC0F4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721F49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26F1D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019638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90D283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CD63F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817A6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440F88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8A9D9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CDA30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F4C55F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44A86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FD378F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492F01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9D333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C1EC5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994A404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665023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1222B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CA853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64AA4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E53AD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584E" w:rsidRPr="000B4CB7" w14:paraId="2236144D" w14:textId="77777777" w:rsidTr="00D2584E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E11A411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5CFFCC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21985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DE1BF9" w14:textId="77777777" w:rsidR="00D2584E" w:rsidRPr="000B4CB7" w:rsidRDefault="00D2584E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9E3D52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476289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401063F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59785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6AE9E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9B977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0E5639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0E7FB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4602A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E131A4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3A1A0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F06246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9AFB91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5DA018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3D39DA5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53B67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8C69F8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CA2E7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65E0E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72BF70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26EF4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B62420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C94B558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FDC30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52F465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1A997EC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2584E" w:rsidRPr="000B4CB7" w14:paraId="21E6D2C0" w14:textId="77777777" w:rsidTr="00D2584E"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FB5801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1002CC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C2A52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C45F732" w14:textId="77777777" w:rsidR="00D2584E" w:rsidRPr="000B4CB7" w:rsidRDefault="00D2584E" w:rsidP="000B4C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3291DF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6E8C27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0399B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42C203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DD0D8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5D310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2E1DA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354AA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7E4D46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B67576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904C9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8D78F68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0A54BFE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61267D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0E73B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7AC38B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AC99F1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9A827F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D8D3B1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2001D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CF2BECA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8E1BA2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1C6DDEF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3CE9A0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CDB63C3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8EF200" w14:textId="77777777" w:rsidR="00D2584E" w:rsidRPr="000B4CB7" w:rsidRDefault="00D2584E" w:rsidP="000B4CA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0905700" w14:textId="77777777" w:rsidR="009B5400" w:rsidRDefault="009B5400" w:rsidP="00D2584E">
      <w:pPr>
        <w:shd w:val="clear" w:color="auto" w:fill="FFFFFF"/>
        <w:ind w:firstLine="851"/>
        <w:jc w:val="both"/>
      </w:pPr>
    </w:p>
    <w:sectPr w:rsidR="009B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630E"/>
    <w:multiLevelType w:val="hybridMultilevel"/>
    <w:tmpl w:val="C602D132"/>
    <w:lvl w:ilvl="0" w:tplc="5C64D5D2">
      <w:start w:val="1"/>
      <w:numFmt w:val="russianLower"/>
      <w:lvlText w:val="%1)"/>
      <w:lvlJc w:val="left"/>
      <w:pPr>
        <w:tabs>
          <w:tab w:val="num" w:pos="850"/>
        </w:tabs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D24236"/>
    <w:multiLevelType w:val="hybridMultilevel"/>
    <w:tmpl w:val="82B6EB80"/>
    <w:lvl w:ilvl="0" w:tplc="5C64D5D2">
      <w:start w:val="1"/>
      <w:numFmt w:val="russianLower"/>
      <w:lvlText w:val="%1)"/>
      <w:lvlJc w:val="left"/>
      <w:pPr>
        <w:tabs>
          <w:tab w:val="num" w:pos="850"/>
        </w:tabs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A0"/>
    <w:rsid w:val="00356DD1"/>
    <w:rsid w:val="0040186C"/>
    <w:rsid w:val="00655CA0"/>
    <w:rsid w:val="00734067"/>
    <w:rsid w:val="00837562"/>
    <w:rsid w:val="00880B9A"/>
    <w:rsid w:val="008E604E"/>
    <w:rsid w:val="009B5400"/>
    <w:rsid w:val="00D2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E6E7"/>
  <w15:chartTrackingRefBased/>
  <w15:docId w15:val="{718F362F-B081-479D-B9DD-B04C3560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after="-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84E"/>
    <w:pPr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584E"/>
    <w:rPr>
      <w:b/>
      <w:bCs/>
    </w:rPr>
  </w:style>
  <w:style w:type="character" w:styleId="a4">
    <w:name w:val="Emphasis"/>
    <w:basedOn w:val="a0"/>
    <w:uiPriority w:val="20"/>
    <w:qFormat/>
    <w:rsid w:val="00D2584E"/>
    <w:rPr>
      <w:i/>
      <w:iCs/>
    </w:rPr>
  </w:style>
  <w:style w:type="character" w:styleId="a5">
    <w:name w:val="Hyperlink"/>
    <w:basedOn w:val="a0"/>
    <w:uiPriority w:val="99"/>
    <w:unhideWhenUsed/>
    <w:rsid w:val="00D2584E"/>
    <w:rPr>
      <w:color w:val="0563C1" w:themeColor="hyperlink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rsid w:val="00D2584E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D25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scrollText(5789709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user54-225  Ulug'bek Tilavov</dc:creator>
  <cp:keywords/>
  <dc:description/>
  <cp:lastModifiedBy>Farangiz Mustafoyeva</cp:lastModifiedBy>
  <cp:revision>4</cp:revision>
  <dcterms:created xsi:type="dcterms:W3CDTF">2024-07-16T13:33:00Z</dcterms:created>
  <dcterms:modified xsi:type="dcterms:W3CDTF">2024-10-30T09:30:00Z</dcterms:modified>
</cp:coreProperties>
</file>