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DA0D29" w:rsidRPr="00623E0E" w14:paraId="75C7FA09" w14:textId="77777777" w:rsidTr="00DA0D29">
        <w:trPr>
          <w:trHeight w:val="2278"/>
        </w:trPr>
        <w:tc>
          <w:tcPr>
            <w:tcW w:w="10207" w:type="dxa"/>
          </w:tcPr>
          <w:p w14:paraId="3D925C87" w14:textId="7FEA473C" w:rsidR="00DA0D29" w:rsidRPr="00DA0D29" w:rsidRDefault="00DA0D29" w:rsidP="00DA0D29">
            <w:pPr>
              <w:tabs>
                <w:tab w:val="left" w:pos="9961"/>
              </w:tabs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Overdraft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kredit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” 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shartnomasi</w:t>
            </w:r>
          </w:p>
          <w:p w14:paraId="32F46D2D" w14:textId="5767D84B" w:rsidR="00DA0D29" w:rsidRPr="00DA0D29" w:rsidRDefault="00DA0D29" w:rsidP="00E91B5F">
            <w:pPr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namunaviy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shakli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14:paraId="660D31C9" w14:textId="076AF840" w:rsidR="00DA0D29" w:rsidRPr="00623E0E" w:rsidRDefault="00DA0D29" w:rsidP="00E91B5F">
            <w:pPr>
              <w:spacing w:before="12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                                                                              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«___» ________ 20___ </w:t>
            </w:r>
            <w:r w:rsidRPr="00DA0D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</w:p>
          <w:p w14:paraId="233BCF14" w14:textId="77777777" w:rsidR="00DA0D29" w:rsidRPr="00623E0E" w:rsidRDefault="00DA0D29" w:rsidP="00E91B5F">
            <w:pPr>
              <w:spacing w:before="12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4883EAB0" w14:textId="10D1B0F4" w:rsidR="00DA0D29" w:rsidRPr="00623E0E" w:rsidRDefault="00DA0D29" w:rsidP="00E91B5F">
            <w:pPr>
              <w:ind w:left="33" w:firstLine="1135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Bundan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buyon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matnida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deb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yuritiluvchi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Biznesni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rivojlantirish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banki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ATB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nomidan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Nizom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hamda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Ishonchnoma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yurituvchi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BXO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BXM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boshliq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boshqaruvchisi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hamda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bundan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buyon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matnda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deb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yuritiluvchi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2023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yil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“___” ________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  ___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seriyasi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_____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raqamli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pasportga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fuqaro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ikkinchi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quyidagilar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tuzdilar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</w:p>
          <w:p w14:paraId="07CF332A" w14:textId="77777777" w:rsidR="00DA0D29" w:rsidRPr="00623E0E" w:rsidRDefault="00DA0D29" w:rsidP="00E91B5F">
            <w:pPr>
              <w:ind w:left="176" w:firstLine="992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  <w:p w14:paraId="32EA81D7" w14:textId="3DAB19BD" w:rsidR="00DA0D29" w:rsidRPr="00623E0E" w:rsidRDefault="00DA0D29" w:rsidP="00E91B5F">
            <w:pPr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ShARTNOMA</w:t>
            </w:r>
            <w:r w:rsidRPr="00623E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PREDMETI</w:t>
            </w:r>
          </w:p>
          <w:p w14:paraId="6983D5B1" w14:textId="19F8C2E1" w:rsidR="00DA0D29" w:rsidRPr="00623E0E" w:rsidRDefault="00DA0D29" w:rsidP="00E91B5F">
            <w:pPr>
              <w:numPr>
                <w:ilvl w:val="1"/>
                <w:numId w:val="2"/>
              </w:numPr>
              <w:tabs>
                <w:tab w:val="left" w:pos="1134"/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Overdraft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”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berish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majburiyatini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esa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olingan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mablag‘ini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belgilangan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muddatda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qaytarish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kreditdan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foydalanganligi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foizlar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to‘lash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majburiyatini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oladi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1A9D72C" w14:textId="77777777" w:rsidR="00DA0D29" w:rsidRPr="00623E0E" w:rsidRDefault="00DA0D29" w:rsidP="00E91B5F">
            <w:pPr>
              <w:tabs>
                <w:tab w:val="left" w:pos="1134"/>
                <w:tab w:val="left" w:pos="1309"/>
                <w:tab w:val="left" w:pos="1593"/>
              </w:tabs>
              <w:ind w:left="11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B06DBA" w14:textId="78744829" w:rsidR="00DA0D29" w:rsidRPr="00623E0E" w:rsidRDefault="00DA0D29" w:rsidP="00E91B5F">
            <w:pPr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KREDIT</w:t>
            </w:r>
            <w:r w:rsidRPr="00623E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ShARTLARI</w:t>
            </w:r>
          </w:p>
          <w:p w14:paraId="6A6E61FE" w14:textId="37622AFF" w:rsidR="00DA0D29" w:rsidRPr="00623E0E" w:rsidRDefault="00DA0D29" w:rsidP="00E91B5F">
            <w:pPr>
              <w:numPr>
                <w:ilvl w:val="1"/>
                <w:numId w:val="2"/>
              </w:numPr>
              <w:tabs>
                <w:tab w:val="left" w:pos="1134"/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summasi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: ___________________________________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so‘m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27B24888" w14:textId="69769097" w:rsidR="00DA0D29" w:rsidRPr="00DA0D29" w:rsidRDefault="00DA0D29" w:rsidP="00E91B5F">
            <w:pPr>
              <w:tabs>
                <w:tab w:val="left" w:pos="1309"/>
              </w:tabs>
              <w:ind w:left="175" w:firstLine="709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</w:pPr>
            <w:r w:rsidRPr="00DA0D2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  <w:t>(</w:t>
            </w:r>
            <w:r w:rsidRPr="00DA0D2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  <w:t>so‘z</w:t>
            </w:r>
            <w:r w:rsidRPr="00DA0D2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  <w:t>va</w:t>
            </w:r>
            <w:r w:rsidRPr="00DA0D2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  <w:t>raqam</w:t>
            </w:r>
            <w:r w:rsidRPr="00DA0D2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  <w:t>bilan</w:t>
            </w:r>
            <w:r w:rsidRPr="00DA0D2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en-US"/>
              </w:rPr>
              <w:t>)</w:t>
            </w:r>
          </w:p>
          <w:p w14:paraId="7D955B86" w14:textId="4F77AFE5" w:rsidR="00DA0D29" w:rsidRPr="00DA0D29" w:rsidRDefault="00DA0D29" w:rsidP="00E91B5F">
            <w:pPr>
              <w:numPr>
                <w:ilvl w:val="1"/>
                <w:numId w:val="2"/>
              </w:numPr>
              <w:tabs>
                <w:tab w:val="left" w:pos="1134"/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Kreditdan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foydalanish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muddati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12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ya’ni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_________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yilgacha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65E526E1" w14:textId="206B6B85" w:rsidR="00DA0D29" w:rsidRPr="00DA0D29" w:rsidRDefault="00DA0D29" w:rsidP="00E91B5F">
            <w:pPr>
              <w:numPr>
                <w:ilvl w:val="1"/>
                <w:numId w:val="2"/>
              </w:numPr>
              <w:tabs>
                <w:tab w:val="left" w:pos="1134"/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reditning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oxirgi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4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oyi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kreditning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maksimal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miqdoridan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  <w:t xml:space="preserve">25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foiz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kamaytirilib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boriladi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hamda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oxirgi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oyi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(12-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oy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)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kredit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ajratilmaydi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231161AD" w14:textId="58893037" w:rsidR="00DA0D29" w:rsidRPr="00DA0D29" w:rsidRDefault="00DA0D29" w:rsidP="00E91B5F">
            <w:pPr>
              <w:pStyle w:val="a4"/>
              <w:numPr>
                <w:ilvl w:val="1"/>
                <w:numId w:val="2"/>
              </w:numPr>
              <w:tabs>
                <w:tab w:val="left" w:pos="567"/>
                <w:tab w:val="left" w:pos="1134"/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Kredit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bo‘yicha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asosiy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qarz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foizlar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mazkur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shartnomaning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  <w:t>1-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ilovasiga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asosan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uz-Cyrl-UZ"/>
              </w:rPr>
              <w:t>differensial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uz-Cyrl-UZ"/>
              </w:rPr>
              <w:t>annuitet</w:t>
            </w:r>
            <w:r w:rsidRPr="00623E0E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 </w:t>
            </w:r>
            <w:r w:rsidRPr="00623E0E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keraklisini</w:t>
            </w:r>
            <w:r w:rsidRPr="00623E0E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qoldirish</w:t>
            </w:r>
            <w:r w:rsidRPr="00623E0E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lozim</w:t>
            </w:r>
            <w:r w:rsidRPr="00623E0E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)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usulida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to‘lanadi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6CDCFED0" w14:textId="3234F4A1" w:rsidR="00DA0D29" w:rsidRPr="00DA0D29" w:rsidRDefault="00DA0D29" w:rsidP="00E91B5F">
            <w:pPr>
              <w:numPr>
                <w:ilvl w:val="1"/>
                <w:numId w:val="2"/>
              </w:numPr>
              <w:tabs>
                <w:tab w:val="left" w:pos="567"/>
                <w:tab w:val="left" w:pos="993"/>
                <w:tab w:val="left" w:pos="1134"/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stavkasi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uz-Cyrl-UZ"/>
              </w:rPr>
              <w:t>o‘zgarmas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uz-Cyrl-UZ"/>
              </w:rPr>
              <w:t>o‘zgaruvchi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keraklisini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qoldirish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lozim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).</w:t>
            </w:r>
          </w:p>
          <w:p w14:paraId="75287103" w14:textId="44CEB5D3" w:rsidR="00DA0D29" w:rsidRPr="00DA0D29" w:rsidRDefault="00DA0D29" w:rsidP="00E91B5F">
            <w:pPr>
              <w:numPr>
                <w:ilvl w:val="1"/>
                <w:numId w:val="2"/>
              </w:numPr>
              <w:tabs>
                <w:tab w:val="left" w:pos="1134"/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Kredit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bo‘yicha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yillik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foiz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stavkasi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 ________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%.</w:t>
            </w:r>
          </w:p>
          <w:p w14:paraId="2B847F3F" w14:textId="67F39E61" w:rsidR="00DA0D29" w:rsidRPr="00DA0D29" w:rsidRDefault="00DA0D29" w:rsidP="00E91B5F">
            <w:pPr>
              <w:numPr>
                <w:ilvl w:val="1"/>
                <w:numId w:val="2"/>
              </w:numPr>
              <w:tabs>
                <w:tab w:val="left" w:pos="1134"/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Foizlarni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to‘lash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muddati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oyning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sanasida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151250CE" w14:textId="77777777" w:rsidR="00DA0D29" w:rsidRPr="00DA0D29" w:rsidRDefault="00DA0D29" w:rsidP="00E91B5F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AB2BC29" w14:textId="61D2883A" w:rsidR="00DA0D29" w:rsidRPr="00623E0E" w:rsidRDefault="00DA0D29" w:rsidP="00E91B5F">
            <w:pPr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TOMONLARNING</w:t>
            </w:r>
            <w:r w:rsidRPr="00623E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HUQUQ</w:t>
            </w:r>
            <w:r w:rsidRPr="00623E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VA</w:t>
            </w:r>
            <w:r w:rsidRPr="00623E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MAJBURIYaTLARI</w:t>
            </w:r>
          </w:p>
          <w:p w14:paraId="35E95C1E" w14:textId="177F55AA" w:rsidR="00DA0D29" w:rsidRPr="003C5DB1" w:rsidRDefault="00DA0D29" w:rsidP="00E91B5F">
            <w:pPr>
              <w:numPr>
                <w:ilvl w:val="1"/>
                <w:numId w:val="2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Bankning</w:t>
            </w:r>
            <w:r w:rsidRPr="003C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majburiyatlari</w:t>
            </w:r>
            <w:r w:rsidRPr="003C5D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47FC20A" w14:textId="2095C4D0" w:rsidR="00DA0D29" w:rsidRPr="00623E0E" w:rsidRDefault="00DA0D29" w:rsidP="00E91B5F">
            <w:pPr>
              <w:pStyle w:val="a4"/>
              <w:numPr>
                <w:ilvl w:val="2"/>
                <w:numId w:val="6"/>
              </w:numPr>
              <w:tabs>
                <w:tab w:val="left" w:pos="567"/>
                <w:tab w:val="left" w:pos="993"/>
                <w:tab w:val="left" w:pos="145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>Qarz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>oluvchiga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>mazkur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>shartnomada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>ko‘rsatilgan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>miqdorda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>shartlarda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>kredit</w:t>
            </w:r>
            <w:r w:rsidRPr="00DA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ajratish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4443DCFD" w14:textId="2593809B" w:rsidR="00DA0D29" w:rsidRPr="00623E0E" w:rsidRDefault="00DA0D29" w:rsidP="00E91B5F">
            <w:pPr>
              <w:pStyle w:val="a4"/>
              <w:numPr>
                <w:ilvl w:val="2"/>
                <w:numId w:val="6"/>
              </w:numPr>
              <w:tabs>
                <w:tab w:val="left" w:pos="1134"/>
                <w:tab w:val="left" w:pos="145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Ajratilgan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ssuda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hisobvarag‘ini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ochish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7A81AA34" w14:textId="34C671E5" w:rsidR="00DA0D29" w:rsidRPr="00623E0E" w:rsidRDefault="00DA0D29" w:rsidP="00E91B5F">
            <w:pPr>
              <w:numPr>
                <w:ilvl w:val="2"/>
                <w:numId w:val="6"/>
              </w:numPr>
              <w:tabs>
                <w:tab w:val="left" w:pos="1134"/>
                <w:tab w:val="left" w:pos="145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oldin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undirish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faktlari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sabablari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xabardor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5B6B73FE" w14:textId="69B3E1CB" w:rsidR="00DA0D29" w:rsidRPr="00623E0E" w:rsidRDefault="00DA0D29" w:rsidP="00E91B5F">
            <w:pPr>
              <w:numPr>
                <w:ilvl w:val="1"/>
                <w:numId w:val="6"/>
              </w:numPr>
              <w:tabs>
                <w:tab w:val="left" w:pos="1134"/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oluvchining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majburiyatlari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44DAEB7" w14:textId="3D160DD6" w:rsidR="00DA0D29" w:rsidRPr="00623E0E" w:rsidRDefault="00DA0D29" w:rsidP="00E91B5F">
            <w:pPr>
              <w:pStyle w:val="a4"/>
              <w:numPr>
                <w:ilvl w:val="2"/>
                <w:numId w:val="6"/>
              </w:numPr>
              <w:tabs>
                <w:tab w:val="left" w:pos="567"/>
                <w:tab w:val="left" w:pos="993"/>
                <w:tab w:val="left" w:pos="1134"/>
                <w:tab w:val="left" w:pos="145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belgilangan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muddatlarda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miqdorda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to‘lab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lozim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darajada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73347B58" w14:textId="588CAFE8" w:rsidR="00DA0D29" w:rsidRPr="00623E0E" w:rsidRDefault="00DA0D29" w:rsidP="00E91B5F">
            <w:pPr>
              <w:numPr>
                <w:ilvl w:val="2"/>
                <w:numId w:val="6"/>
              </w:numPr>
              <w:tabs>
                <w:tab w:val="left" w:pos="1134"/>
                <w:tab w:val="left" w:pos="143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foydalanish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jarayonida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kreditlashning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tamoyillari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muddatlilik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qaytarishlilik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to‘lovlilik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ta’minlanganlik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talablariga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rioya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3F6CC924" w14:textId="48CB7FBF" w:rsidR="00DA0D29" w:rsidRPr="00623E0E" w:rsidRDefault="00DA0D29" w:rsidP="00E91B5F">
            <w:pPr>
              <w:numPr>
                <w:ilvl w:val="2"/>
                <w:numId w:val="6"/>
              </w:numPr>
              <w:tabs>
                <w:tab w:val="left" w:pos="1134"/>
                <w:tab w:val="left" w:pos="143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joyi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yashash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manzili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familiyasi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ismi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o‘zgarganda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10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ichida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yozma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ravishda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tegishli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hujjatlarni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ilova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xabardor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4B6D52C1" w14:textId="7843FC6A" w:rsidR="00DA0D29" w:rsidRPr="00623E0E" w:rsidRDefault="00DA0D29" w:rsidP="00E91B5F">
            <w:pPr>
              <w:pStyle w:val="a4"/>
              <w:numPr>
                <w:ilvl w:val="1"/>
                <w:numId w:val="6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quyidagilarni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tasdiqlaydi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kafolatlaydi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</w:p>
          <w:p w14:paraId="3C0C8670" w14:textId="6F937EC7" w:rsidR="00DA0D29" w:rsidRPr="00623E0E" w:rsidRDefault="00DA0D29" w:rsidP="00E91B5F">
            <w:pPr>
              <w:tabs>
                <w:tab w:val="left" w:pos="1134"/>
              </w:tabs>
              <w:ind w:left="175"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z-Cyrl-U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rasmiylashtirish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Bankka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taqdim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etiladigan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barcha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hujjat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ma’lumotlar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taqdim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vaqtida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haqiqiy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ishonchliligini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;</w:t>
            </w:r>
          </w:p>
          <w:p w14:paraId="478E45BD" w14:textId="22188763" w:rsidR="00DA0D29" w:rsidRPr="00623E0E" w:rsidRDefault="00DA0D29" w:rsidP="00E91B5F">
            <w:pPr>
              <w:pStyle w:val="a4"/>
              <w:tabs>
                <w:tab w:val="left" w:pos="567"/>
                <w:tab w:val="left" w:pos="1134"/>
              </w:tabs>
              <w:spacing w:after="120"/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vaqtida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to‘lanmaganda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so‘ndirilishi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yuzasidan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amaliy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yordam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so‘rab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joyi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yashash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joyidagi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MFY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yaqin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qarindoshlariga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yozma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murojaat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qilinishiga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roziligini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beradi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hamda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sirini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oshkor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deb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hisoblanmaydi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;</w:t>
            </w:r>
          </w:p>
          <w:p w14:paraId="38162F57" w14:textId="25027D7B" w:rsidR="00DA0D29" w:rsidRPr="00623E0E" w:rsidRDefault="00DA0D29" w:rsidP="00E91B5F">
            <w:pPr>
              <w:pStyle w:val="a4"/>
              <w:tabs>
                <w:tab w:val="left" w:pos="567"/>
                <w:tab w:val="left" w:pos="1134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majburiyatlarini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bajarishdan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tortishi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hamda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O‘zbekiston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Respublikasining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amaldagi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qonunchiligida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belgilangan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javobgarligini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keltirib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chiqaradi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4622E19D" w14:textId="28195F65" w:rsidR="00DA0D29" w:rsidRPr="00401593" w:rsidRDefault="00DA0D29" w:rsidP="00E91B5F">
            <w:pPr>
              <w:pStyle w:val="21"/>
              <w:tabs>
                <w:tab w:val="left" w:pos="426"/>
                <w:tab w:val="left" w:pos="567"/>
                <w:tab w:val="left" w:pos="1451"/>
              </w:tabs>
              <w:ind w:firstLine="921"/>
              <w:jc w:val="right"/>
              <w:rPr>
                <w:rFonts w:ascii="Times New Roman" w:hAnsi="Times New Roman"/>
                <w:b/>
                <w:i/>
                <w:szCs w:val="24"/>
                <w:vertAlign w:val="subscript"/>
                <w:lang w:val="uz-Cyrl-UZ"/>
              </w:rPr>
            </w:pPr>
            <w:r w:rsidRPr="00623E0E">
              <w:rPr>
                <w:rFonts w:ascii="Times New Roman" w:hAnsi="Times New Roman"/>
                <w:b/>
                <w:noProof/>
                <w:szCs w:val="24"/>
                <w:lang w:val="uz-Cyrl-UZ"/>
              </w:rPr>
              <w:t xml:space="preserve">3.3.1. </w:t>
            </w:r>
            <w:r>
              <w:rPr>
                <w:rFonts w:ascii="Times New Roman" w:hAnsi="Times New Roman"/>
                <w:b/>
                <w:noProof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uz-Cyrl-UZ"/>
              </w:rPr>
              <w:t>oluvchi</w:t>
            </w:r>
            <w:r w:rsidRPr="00401593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uz-Cyrl-UZ"/>
              </w:rPr>
              <w:t>qo‘yidagilarni</w:t>
            </w:r>
            <w:r w:rsidRPr="00401593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uz-Cyrl-UZ"/>
              </w:rPr>
              <w:t>tasdiqlaydi</w:t>
            </w:r>
            <w:r w:rsidRPr="00401593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uz-Cyrl-UZ"/>
              </w:rPr>
              <w:t>va</w:t>
            </w:r>
            <w:r w:rsidRPr="00401593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uz-Cyrl-UZ"/>
              </w:rPr>
              <w:t>o‘z</w:t>
            </w:r>
            <w:r w:rsidRPr="00401593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uz-Cyrl-UZ"/>
              </w:rPr>
              <w:t>roziligini</w:t>
            </w:r>
            <w:r w:rsidRPr="00401593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uz-Cyrl-UZ"/>
              </w:rPr>
              <w:t>beradi</w:t>
            </w:r>
            <w:r w:rsidRPr="00401593">
              <w:rPr>
                <w:rFonts w:ascii="Times New Roman" w:hAnsi="Times New Roman"/>
                <w:b/>
                <w:szCs w:val="24"/>
                <w:lang w:val="uz-Cyrl-UZ"/>
              </w:rPr>
              <w:t xml:space="preserve">: _________  </w:t>
            </w:r>
            <w:r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Pr="00401593">
              <w:rPr>
                <w:rFonts w:ascii="Times New Roman" w:hAnsi="Times New Roman"/>
                <w:b/>
                <w:i/>
                <w:szCs w:val="24"/>
                <w:vertAlign w:val="subscript"/>
                <w:lang w:val="uz-Cyrl-UZ"/>
              </w:rPr>
              <w:t>(</w:t>
            </w:r>
            <w:r>
              <w:rPr>
                <w:rFonts w:ascii="Times New Roman" w:hAnsi="Times New Roman"/>
                <w:b/>
                <w:i/>
                <w:szCs w:val="24"/>
                <w:vertAlign w:val="subscript"/>
                <w:lang w:val="uz-Cyrl-UZ"/>
              </w:rPr>
              <w:t>imzo</w:t>
            </w:r>
            <w:r w:rsidRPr="00401593">
              <w:rPr>
                <w:rFonts w:ascii="Times New Roman" w:hAnsi="Times New Roman"/>
                <w:b/>
                <w:i/>
                <w:szCs w:val="24"/>
                <w:vertAlign w:val="subscript"/>
                <w:lang w:val="uz-Cyrl-UZ"/>
              </w:rPr>
              <w:t>)</w:t>
            </w:r>
          </w:p>
          <w:p w14:paraId="4336290A" w14:textId="060B0062" w:rsidR="00DA0D29" w:rsidRPr="00623E0E" w:rsidRDefault="00DA0D29" w:rsidP="00E91B5F">
            <w:pPr>
              <w:pStyle w:val="21"/>
              <w:tabs>
                <w:tab w:val="left" w:pos="0"/>
              </w:tabs>
              <w:ind w:left="175" w:firstLine="709"/>
              <w:rPr>
                <w:rFonts w:ascii="Times New Roman" w:hAnsi="Times New Roman"/>
                <w:bCs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Cs w:val="24"/>
                <w:lang w:val="uz-Cyrl-UZ"/>
              </w:rPr>
              <w:lastRenderedPageBreak/>
              <w:t>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To‘lov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grafigi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to‘lov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kunidan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kun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oldin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to‘lovi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haqida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ogohlantiruvchi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SMS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xabar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jo‘natilishiga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>;</w:t>
            </w:r>
          </w:p>
          <w:p w14:paraId="0FD138C8" w14:textId="61DF0D5E" w:rsidR="00DA0D29" w:rsidRPr="00623E0E" w:rsidRDefault="00DA0D29" w:rsidP="00E91B5F">
            <w:pPr>
              <w:pStyle w:val="21"/>
              <w:tabs>
                <w:tab w:val="left" w:pos="0"/>
              </w:tabs>
              <w:ind w:left="175" w:firstLine="709"/>
              <w:rPr>
                <w:rFonts w:ascii="Times New Roman" w:hAnsi="Times New Roman"/>
                <w:bCs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Cs w:val="24"/>
                <w:lang w:val="uz-Cyrl-UZ"/>
              </w:rPr>
              <w:t>b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) SMS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xabar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yuborish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taqdim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etilgan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mobil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telefon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raqami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o‘zgarganda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o‘zgarish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haqida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bankni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xabardor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qilish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yangi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mobil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telefon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raqamini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bankka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takdim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etish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>;</w:t>
            </w:r>
          </w:p>
          <w:p w14:paraId="687C0375" w14:textId="091B1B48" w:rsidR="00DA0D29" w:rsidRPr="00623E0E" w:rsidRDefault="00DA0D29" w:rsidP="00E91B5F">
            <w:pPr>
              <w:pStyle w:val="21"/>
              <w:tabs>
                <w:tab w:val="left" w:pos="0"/>
              </w:tabs>
              <w:ind w:left="175" w:firstLine="709"/>
              <w:rPr>
                <w:rFonts w:ascii="Times New Roman" w:hAnsi="Times New Roman"/>
                <w:bCs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Cs w:val="24"/>
                <w:lang w:val="uz-Cyrl-UZ"/>
              </w:rPr>
              <w:t>v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mobil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telefon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raqami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o‘zgarganligi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hakida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bankni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vaqtida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ogohlantirmaganligi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sababli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kelib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chiqadigan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ya’ni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, SMS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xabar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bankka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berilgan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dastlabki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telefon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raqamidan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yangi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foydalanuvchiga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yuborilganligi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oqibatida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yuzaga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kelishi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mumkin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holatlar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javobgar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bo‘lishi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mumkinligini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>;</w:t>
            </w:r>
          </w:p>
          <w:p w14:paraId="789D7F2F" w14:textId="3BA1097A" w:rsidR="00DA0D29" w:rsidRPr="00623E0E" w:rsidRDefault="00DA0D29" w:rsidP="00E91B5F">
            <w:pPr>
              <w:pStyle w:val="21"/>
              <w:tabs>
                <w:tab w:val="left" w:pos="0"/>
              </w:tabs>
              <w:ind w:left="175" w:firstLine="709"/>
              <w:rPr>
                <w:rFonts w:ascii="Times New Roman" w:hAnsi="Times New Roman"/>
                <w:bCs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Cs w:val="24"/>
                <w:lang w:val="uz-Cyrl-UZ"/>
              </w:rPr>
              <w:t>g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shartnomasi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yuzasidan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vujuga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keladigan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asosiy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qoldig‘iga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hisoblangan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foiz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yuqori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foiz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boshqalar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qoplash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uning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nomiga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ochilgan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plastik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kartochkasidan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aksepsiz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ravishda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yechib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z-Cyrl-UZ"/>
              </w:rPr>
              <w:t>olinishiga</w:t>
            </w:r>
            <w:r w:rsidRPr="00623E0E">
              <w:rPr>
                <w:rFonts w:ascii="Times New Roman" w:hAnsi="Times New Roman"/>
                <w:bCs/>
                <w:szCs w:val="24"/>
                <w:lang w:val="uz-Cyrl-UZ"/>
              </w:rPr>
              <w:t xml:space="preserve">; </w:t>
            </w:r>
          </w:p>
          <w:p w14:paraId="4D252C8D" w14:textId="7D0289EA" w:rsidR="00DA0D29" w:rsidRPr="00E97B75" w:rsidRDefault="00DA0D29" w:rsidP="00E91B5F">
            <w:pPr>
              <w:pStyle w:val="a4"/>
              <w:numPr>
                <w:ilvl w:val="1"/>
                <w:numId w:val="5"/>
              </w:numPr>
              <w:tabs>
                <w:tab w:val="left" w:pos="1309"/>
              </w:tabs>
              <w:spacing w:after="200"/>
              <w:ind w:left="175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Bankning</w:t>
            </w:r>
            <w:r w:rsidRPr="00E97B7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huquqlari</w:t>
            </w:r>
            <w:r w:rsidRPr="00E97B7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  <w:p w14:paraId="262B0E71" w14:textId="58598836" w:rsidR="00DA0D29" w:rsidRPr="00623E0E" w:rsidRDefault="00DA0D29" w:rsidP="00E91B5F">
            <w:pPr>
              <w:pStyle w:val="a4"/>
              <w:numPr>
                <w:ilvl w:val="2"/>
                <w:numId w:val="3"/>
              </w:numPr>
              <w:tabs>
                <w:tab w:val="left" w:pos="1418"/>
                <w:tab w:val="left" w:pos="1451"/>
              </w:tabs>
              <w:spacing w:before="60" w:after="200"/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Quyidagi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hollarda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amalda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davrda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berishdan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butunlay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qisman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tortish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</w:p>
          <w:p w14:paraId="5CD5CA22" w14:textId="7FD1710A" w:rsidR="00DA0D29" w:rsidRPr="00623E0E" w:rsidRDefault="00DA0D29" w:rsidP="00E91B5F">
            <w:pPr>
              <w:pStyle w:val="a4"/>
              <w:numPr>
                <w:ilvl w:val="0"/>
                <w:numId w:val="1"/>
              </w:numPr>
              <w:tabs>
                <w:tab w:val="left" w:pos="1418"/>
                <w:tab w:val="left" w:pos="1451"/>
              </w:tabs>
              <w:spacing w:before="60" w:after="20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layoqatsizlik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holatlari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aniqlanganda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;</w:t>
            </w:r>
          </w:p>
          <w:p w14:paraId="10B86654" w14:textId="66F81C17" w:rsidR="00DA0D29" w:rsidRPr="00623E0E" w:rsidRDefault="00DA0D29" w:rsidP="00E91B5F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026"/>
                <w:tab w:val="left" w:pos="1134"/>
                <w:tab w:val="left" w:pos="1418"/>
              </w:tabs>
              <w:spacing w:before="60"/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majburiyatlarini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bajarmaganda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lozim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darajada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bajarilmaganda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;</w:t>
            </w:r>
          </w:p>
          <w:p w14:paraId="0D3A4E2E" w14:textId="60F04213" w:rsidR="00DA0D29" w:rsidRPr="00623E0E" w:rsidRDefault="00DA0D29" w:rsidP="00E91B5F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026"/>
                <w:tab w:val="left" w:pos="1134"/>
                <w:tab w:val="left" w:pos="1418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imzolangandan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keyin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taqdim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qaytarilishiga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ta’sir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ko‘rsatuvchi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ma’lumotlarning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haqiqiy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emasligi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aniqlanganda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10D5EDE4" w14:textId="0407FC3D" w:rsidR="00DA0D29" w:rsidRPr="00623E0E" w:rsidRDefault="00DA0D29" w:rsidP="00E91B5F">
            <w:pPr>
              <w:numPr>
                <w:ilvl w:val="2"/>
                <w:numId w:val="3"/>
              </w:numPr>
              <w:tabs>
                <w:tab w:val="left" w:pos="1418"/>
                <w:tab w:val="left" w:pos="145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Kreditlash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jarayonida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ajratilayotgan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tegishli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holatlarni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ta’minlanganligi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layoqatliligi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boshqalar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tahlil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7A13F9A0" w14:textId="67759797" w:rsidR="00DA0D29" w:rsidRPr="00623E0E" w:rsidRDefault="00DA0D29" w:rsidP="00E91B5F">
            <w:pPr>
              <w:numPr>
                <w:ilvl w:val="2"/>
                <w:numId w:val="3"/>
              </w:numPr>
              <w:tabs>
                <w:tab w:val="left" w:pos="1418"/>
                <w:tab w:val="left" w:pos="145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Quyidagi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hollarda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bundan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buyon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kreditlashni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to‘xtatish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hamda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oldin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jumladan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undiruvni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ta’minotiga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qaratish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orqali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undirish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</w:p>
          <w:p w14:paraId="6B5C58FF" w14:textId="18225E3D" w:rsidR="00DA0D29" w:rsidRPr="00623E0E" w:rsidRDefault="00DA0D29" w:rsidP="00E91B5F">
            <w:pPr>
              <w:pStyle w:val="a4"/>
              <w:numPr>
                <w:ilvl w:val="0"/>
                <w:numId w:val="1"/>
              </w:numPr>
              <w:tabs>
                <w:tab w:val="left" w:pos="1026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shartnomasida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belgilangan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qanday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majburiyatlari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bajarilmagan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hollarda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;</w:t>
            </w:r>
          </w:p>
          <w:p w14:paraId="50CF21CD" w14:textId="7B8C1DF0" w:rsidR="00DA0D29" w:rsidRPr="00623E0E" w:rsidRDefault="00DA0D29" w:rsidP="00E91B5F">
            <w:pPr>
              <w:pStyle w:val="a4"/>
              <w:numPr>
                <w:ilvl w:val="0"/>
                <w:numId w:val="1"/>
              </w:numPr>
              <w:tabs>
                <w:tab w:val="left" w:pos="1026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Bankka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hujjatlarini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rasmiylashtirilayotganda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taqdim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ma’lumotlar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haqqoniy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emasligi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aniqlanganda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;</w:t>
            </w:r>
          </w:p>
          <w:p w14:paraId="3550965B" w14:textId="5423E349" w:rsidR="00DA0D29" w:rsidRPr="00623E0E" w:rsidRDefault="00DA0D29" w:rsidP="00E91B5F">
            <w:pPr>
              <w:pStyle w:val="a4"/>
              <w:numPr>
                <w:ilvl w:val="0"/>
                <w:numId w:val="1"/>
              </w:numPr>
              <w:tabs>
                <w:tab w:val="left" w:pos="1026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ajratilgan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qaytarilishi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turli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sabablarga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ko‘ra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ta’minlanmagan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hollarda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shuningdek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qaytarilishiga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salbiy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ta’sir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ko‘rsatuvchi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ko‘zda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tutilgan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boshqa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majburiyatlar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bajarilmaganda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6FA4F593" w14:textId="2644468B" w:rsidR="00DA0D29" w:rsidRPr="00623E0E" w:rsidRDefault="00DA0D29" w:rsidP="00E91B5F">
            <w:pPr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Bunday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hollarda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15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avval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yozma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ravishda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ogohlantiradi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ogohlantirilmaganligi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bundan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buyon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kreditlashni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to‘xtatish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hamda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oldin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undirishga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huquqiga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ta’sirini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ko‘rsatmaydi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266E0469" w14:textId="0C953D44" w:rsidR="00DA0D29" w:rsidRPr="00623E0E" w:rsidRDefault="00DA0D29" w:rsidP="00E91B5F">
            <w:pPr>
              <w:pStyle w:val="a4"/>
              <w:numPr>
                <w:ilvl w:val="2"/>
                <w:numId w:val="3"/>
              </w:numPr>
              <w:tabs>
                <w:tab w:val="left" w:pos="1586"/>
              </w:tabs>
              <w:ind w:left="168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bookmarkStart w:id="0" w:name="_Hlk58693284"/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tarixini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shakllantirish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zarur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ma’lumotlarni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axborotining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davlat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reestri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byurosiga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taqdim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etilishiga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olinishiga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roziligini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beradi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sirini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oshkor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deb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hisoblanmaydi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bookmarkEnd w:id="0"/>
          <w:p w14:paraId="65ABFB4C" w14:textId="7EB47259" w:rsidR="00DA0D29" w:rsidRPr="00E97B75" w:rsidRDefault="00DA0D29" w:rsidP="00E91B5F">
            <w:pPr>
              <w:numPr>
                <w:ilvl w:val="1"/>
                <w:numId w:val="3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Qarz</w:t>
            </w:r>
            <w:r w:rsidRPr="00E97B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oluvchining</w:t>
            </w:r>
            <w:r w:rsidRPr="00E97B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huquqlari</w:t>
            </w:r>
            <w:r w:rsidRPr="00E97B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1D47392" w14:textId="18D3367A" w:rsidR="00DA0D29" w:rsidRPr="00DA0D29" w:rsidRDefault="00DA0D29" w:rsidP="00E91B5F">
            <w:pPr>
              <w:numPr>
                <w:ilvl w:val="2"/>
                <w:numId w:val="3"/>
              </w:numPr>
              <w:tabs>
                <w:tab w:val="left" w:pos="567"/>
                <w:tab w:val="left" w:pos="1134"/>
                <w:tab w:val="left" w:pos="1418"/>
                <w:tab w:val="left" w:pos="145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mablag‘lari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ajratilguniga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qadar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olishdan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bepul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voz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kechish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;</w:t>
            </w:r>
          </w:p>
          <w:p w14:paraId="1E625D2A" w14:textId="37FAC1A7" w:rsidR="00DA0D29" w:rsidRPr="00623E0E" w:rsidRDefault="00DA0D29" w:rsidP="00E91B5F">
            <w:pPr>
              <w:numPr>
                <w:ilvl w:val="2"/>
                <w:numId w:val="3"/>
              </w:numPr>
              <w:tabs>
                <w:tab w:val="left" w:pos="1134"/>
                <w:tab w:val="left" w:pos="1418"/>
                <w:tab w:val="left" w:pos="145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Kreditni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muddatidan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oldin</w:t>
            </w:r>
            <w:r w:rsidRPr="0062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qaytarish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;</w:t>
            </w:r>
          </w:p>
          <w:p w14:paraId="3E9CE5C8" w14:textId="29872127" w:rsidR="00DA0D29" w:rsidRPr="00623E0E" w:rsidRDefault="00DA0D29" w:rsidP="00E91B5F">
            <w:pPr>
              <w:numPr>
                <w:ilvl w:val="2"/>
                <w:numId w:val="3"/>
              </w:numPr>
              <w:tabs>
                <w:tab w:val="left" w:pos="1134"/>
                <w:tab w:val="left" w:pos="1418"/>
                <w:tab w:val="left" w:pos="145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qarzdorliklari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ma’lumotlar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2427F51C" w14:textId="2BB12130" w:rsidR="00DA0D29" w:rsidRPr="00623E0E" w:rsidRDefault="00DA0D29" w:rsidP="00E91B5F">
            <w:pPr>
              <w:numPr>
                <w:ilvl w:val="2"/>
                <w:numId w:val="3"/>
              </w:numPr>
              <w:tabs>
                <w:tab w:val="left" w:pos="567"/>
                <w:tab w:val="left" w:pos="1134"/>
                <w:tab w:val="left" w:pos="1418"/>
                <w:tab w:val="left" w:pos="1451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Kreditlash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kitoblar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O‘zbekiston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Respublikasining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normativ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huquqiy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hujjatlari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ichki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me’yoriy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hujjatlaridagi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o‘zgarishlar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ma’lumot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2BF309A4" w14:textId="77777777" w:rsidR="00DA0D29" w:rsidRPr="00623E0E" w:rsidRDefault="00DA0D29" w:rsidP="00E91B5F">
            <w:pPr>
              <w:tabs>
                <w:tab w:val="left" w:pos="459"/>
                <w:tab w:val="left" w:pos="884"/>
                <w:tab w:val="left" w:pos="1168"/>
                <w:tab w:val="left" w:pos="130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25C5A395" w14:textId="1D885C6F" w:rsidR="00DA0D29" w:rsidRPr="00623E0E" w:rsidRDefault="00DA0D29" w:rsidP="00E91B5F">
            <w:pPr>
              <w:pStyle w:val="a4"/>
              <w:numPr>
                <w:ilvl w:val="0"/>
                <w:numId w:val="4"/>
              </w:numPr>
              <w:tabs>
                <w:tab w:val="left" w:pos="459"/>
                <w:tab w:val="left" w:pos="884"/>
                <w:tab w:val="left" w:pos="1168"/>
                <w:tab w:val="left" w:pos="130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HISOB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KITOBLAR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TARTIBI</w:t>
            </w:r>
          </w:p>
          <w:p w14:paraId="2A215E27" w14:textId="502B5E9C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ko‘rsatilgan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summasini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ssuda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hisobvarag‘i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orqali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plastik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kartasiga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pul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o‘tkazish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yo‘li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bilan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o‘tkazib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beradi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5D25BB88" w14:textId="6FC2D9FC" w:rsidR="00DA0D29" w:rsidRPr="00623E0E" w:rsidRDefault="00DA0D29" w:rsidP="00E91B5F">
            <w:pPr>
              <w:numPr>
                <w:ilvl w:val="1"/>
                <w:numId w:val="4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Bankka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belgilangan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miqdorda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amalga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oshirgan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kitob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to‘laydi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0B98478C" w14:textId="4105550A" w:rsidR="00DA0D29" w:rsidRPr="00623E0E" w:rsidRDefault="00DA0D29" w:rsidP="00E91B5F">
            <w:pPr>
              <w:numPr>
                <w:ilvl w:val="1"/>
                <w:numId w:val="4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foydalanganlik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boriladi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6BFD71FD" w14:textId="3519599C" w:rsidR="00DA0D29" w:rsidRPr="00623E0E" w:rsidRDefault="00DA0D29" w:rsidP="00E91B5F">
            <w:pPr>
              <w:numPr>
                <w:ilvl w:val="1"/>
                <w:numId w:val="4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lastRenderedPageBreak/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shartlariga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ajratilgan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hamda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tenglashtirilgan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plastik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kartochkalari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orqali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amalga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oshiradi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Avval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majburiyat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bajarilmaganligi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lozim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darajada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bajarilmaganigi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sababli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yuqori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stavkasi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keyin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so‘ndiriladi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750AF696" w14:textId="1E9780D0" w:rsidR="00DA0D29" w:rsidRPr="00623E0E" w:rsidRDefault="00DA0D29" w:rsidP="00E91B5F">
            <w:pPr>
              <w:numPr>
                <w:ilvl w:val="1"/>
                <w:numId w:val="4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talablarini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qanoatlantirishi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zarur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pul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mablag‘larini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O‘zbekiston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Respublikasi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Fuqarolik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Kodeksining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783-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moddasiga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hisobvarag‘ida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ya’ni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tenglashtirilgan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plastik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kartasi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hamda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boshqa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hisobvarag‘larida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mavjud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pul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mablag‘larini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roziligisiz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ya’ni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memorial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order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talabnomasi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orqali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chiqarishga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. </w:t>
            </w:r>
          </w:p>
          <w:p w14:paraId="40A2C61D" w14:textId="5E7CF26B" w:rsidR="00DA0D29" w:rsidRDefault="00DA0D29" w:rsidP="00E91B5F">
            <w:pPr>
              <w:tabs>
                <w:tab w:val="left" w:pos="1134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to‘lovlaridan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o‘tgan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qarzdorliklari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mavjud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shaxsiy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plastik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kartasiga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mablag‘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kirim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qilinishi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bilan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mablag‘lar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qarzdorliklarini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qoplash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topshirig‘isiz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akseptsiz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tartibda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chiqariladi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undirib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olinadi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3F97167C" w14:textId="77777777" w:rsidR="00DA0D29" w:rsidRPr="00623E0E" w:rsidRDefault="00DA0D29" w:rsidP="00E91B5F">
            <w:pPr>
              <w:tabs>
                <w:tab w:val="left" w:pos="1134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  <w:p w14:paraId="2246659F" w14:textId="624ECDB2" w:rsidR="00DA0D29" w:rsidRPr="00623E0E" w:rsidRDefault="00DA0D29" w:rsidP="00E91B5F">
            <w:pPr>
              <w:numPr>
                <w:ilvl w:val="0"/>
                <w:numId w:val="4"/>
              </w:numPr>
              <w:tabs>
                <w:tab w:val="left" w:pos="459"/>
              </w:tabs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KREDIT</w:t>
            </w:r>
            <w:r w:rsidRPr="00623E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QA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TARILIShINING</w:t>
            </w:r>
            <w:r w:rsidRPr="00623E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TA’MINLANIShI</w:t>
            </w:r>
          </w:p>
          <w:p w14:paraId="01B53EAF" w14:textId="371CD88D" w:rsidR="00DA0D29" w:rsidRPr="00E97B75" w:rsidRDefault="00DA0D29" w:rsidP="00E91B5F">
            <w:pPr>
              <w:numPr>
                <w:ilvl w:val="1"/>
                <w:numId w:val="4"/>
              </w:numPr>
              <w:tabs>
                <w:tab w:val="left" w:pos="1309"/>
              </w:tabs>
              <w:ind w:left="205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Mazkur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shartnoma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asosida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ajratilgan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kredit</w:t>
            </w:r>
            <w:r w:rsidRPr="00E97B7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________________________________</w:t>
            </w:r>
            <w:r w:rsidRPr="00E97B7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bilan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A0D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ta’minlanadi</w:t>
            </w:r>
            <w:r w:rsidRPr="00E97B7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                                                                   </w:t>
            </w:r>
            <w:r w:rsidRPr="00E97B75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val="uz-Cyrl-UZ"/>
              </w:rPr>
              <w:t xml:space="preserve">                                       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val="uz-Cyrl-UZ"/>
              </w:rPr>
              <w:t>kafillik</w:t>
            </w:r>
            <w:r w:rsidRPr="00E97B75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val="uz-Cyrl-UZ"/>
              </w:rPr>
              <w:t>)</w:t>
            </w:r>
          </w:p>
          <w:p w14:paraId="213282B6" w14:textId="3FCFFBEC" w:rsidR="00DA0D29" w:rsidRPr="00623E0E" w:rsidRDefault="00DA0D29" w:rsidP="00E91B5F">
            <w:pPr>
              <w:numPr>
                <w:ilvl w:val="1"/>
                <w:numId w:val="4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majburiyati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ajratish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qaytarilishini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ta’minlanishi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bilan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bog‘liq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hujjatlar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belgilangan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tartibda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to‘liq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rasmiylashtirilganidan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olingandan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so‘ng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kuchga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kiradi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29CD505F" w14:textId="798AD2B1" w:rsidR="00DA0D29" w:rsidRPr="00623E0E" w:rsidRDefault="00DA0D29" w:rsidP="00E91B5F">
            <w:pPr>
              <w:numPr>
                <w:ilvl w:val="0"/>
                <w:numId w:val="4"/>
              </w:numPr>
              <w:tabs>
                <w:tab w:val="left" w:pos="601"/>
              </w:tabs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TOMONLARNING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JAVOBGARLIGI</w:t>
            </w:r>
          </w:p>
          <w:p w14:paraId="4491053C" w14:textId="34B19663" w:rsidR="00DA0D29" w:rsidRPr="00623E0E" w:rsidRDefault="00DA0D29" w:rsidP="00E91B5F">
            <w:pPr>
              <w:numPr>
                <w:ilvl w:val="1"/>
                <w:numId w:val="4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qaytarish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o‘tgan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Bankka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butun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davr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belgilangan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stavkasining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E97B7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1,5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baravar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oshirilgan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miqdorida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yuqori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to‘laydi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0A829588" w14:textId="0D0A827F" w:rsidR="00DA0D29" w:rsidRPr="00623E0E" w:rsidRDefault="00DA0D29" w:rsidP="00E91B5F">
            <w:pPr>
              <w:numPr>
                <w:ilvl w:val="1"/>
                <w:numId w:val="4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belgilangan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liniyasini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ochib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summasining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E97B7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0,1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foizi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miqdorida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ammo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summasining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50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oshmagan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miqdorda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penya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to‘laydi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4EAF47DD" w14:textId="2748A97D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1164"/>
              </w:tabs>
              <w:ind w:left="175" w:firstLine="706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belgilangan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to‘lamaganligi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o‘tgan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summalar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vujudga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kelgani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qarzdor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Bankka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summasining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E97B7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0,3%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miqdorida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ammo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kechiktirilgan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to‘lov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summasining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50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%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oshmagan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miqdorda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penya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to‘laydi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3564D1BC" w14:textId="524F4758" w:rsidR="00DA0D29" w:rsidRPr="00623E0E" w:rsidRDefault="00DA0D29" w:rsidP="00E91B5F">
            <w:pPr>
              <w:numPr>
                <w:ilvl w:val="1"/>
                <w:numId w:val="4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Taraflarni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penya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oshirilgan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stavkasini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to‘lashi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ularning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majburiyatlarini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bajarishdan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ozod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etmaydi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77CEFB13" w14:textId="77777777" w:rsidR="00DA0D29" w:rsidRPr="00623E0E" w:rsidRDefault="00DA0D29" w:rsidP="00E91B5F">
            <w:pPr>
              <w:tabs>
                <w:tab w:val="left" w:pos="1309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  <w:p w14:paraId="5A8309AD" w14:textId="7B2406A6" w:rsidR="00DA0D29" w:rsidRPr="00623E0E" w:rsidRDefault="00DA0D29" w:rsidP="00E91B5F">
            <w:pPr>
              <w:numPr>
                <w:ilvl w:val="0"/>
                <w:numId w:val="4"/>
              </w:numPr>
              <w:tabs>
                <w:tab w:val="left" w:pos="459"/>
              </w:tabs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NIZOLARNI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HAL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ETIS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TARTIBI</w:t>
            </w:r>
          </w:p>
          <w:p w14:paraId="701722C3" w14:textId="063E7E32" w:rsidR="00DA0D29" w:rsidRPr="00623E0E" w:rsidRDefault="00DA0D29" w:rsidP="00E91B5F">
            <w:pPr>
              <w:numPr>
                <w:ilvl w:val="1"/>
                <w:numId w:val="4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yuzasidan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kelib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chiqishi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mumkin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kelishmovchilik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nizolarni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o‘zaro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muzokara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maslahatlar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yo‘li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bilan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harakat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qiladilar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429D88C7" w14:textId="7C510653" w:rsidR="00DA0D29" w:rsidRDefault="00DA0D29" w:rsidP="00E91B5F">
            <w:pPr>
              <w:numPr>
                <w:ilvl w:val="1"/>
                <w:numId w:val="4"/>
              </w:numPr>
              <w:tabs>
                <w:tab w:val="left" w:pos="1309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Agarda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ko‘rsatib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o‘tilgan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kelishmovchilik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nizolar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o‘zaro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muzokaralar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yo‘li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bilan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etilmasa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nizolar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O‘zbekiston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Respublikasining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amaldagi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qonunchiligiga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imzolangan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(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BXO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BXM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joylashgan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joydagi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sudda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ko‘rib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chiqiladi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30951089" w14:textId="77777777" w:rsidR="00DA0D29" w:rsidRPr="00623E0E" w:rsidRDefault="00DA0D29" w:rsidP="00E91B5F">
            <w:pPr>
              <w:tabs>
                <w:tab w:val="left" w:pos="1309"/>
              </w:tabs>
              <w:ind w:left="884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  <w:p w14:paraId="61A8343B" w14:textId="213A786D" w:rsidR="00DA0D29" w:rsidRPr="00623E0E" w:rsidRDefault="00DA0D29" w:rsidP="00E91B5F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176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FORS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MAJOR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HOLATLAR</w:t>
            </w:r>
          </w:p>
          <w:p w14:paraId="0CE89AD2" w14:textId="0F3B3304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-284"/>
                <w:tab w:val="left" w:pos="1258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Agar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imzolangandan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so‘ng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taraflarning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erki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istagiga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bog‘liq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bo‘lmagan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hamda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oldindan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ko‘ra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bilib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oldini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bo‘lmaydigan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favqulodda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vaziyatlar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oqibatidagi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yengib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bo‘lmas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kuch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tufayli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taraflar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majburiyatlarini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qisman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to‘liq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olmasalar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fors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javobgar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bo‘lmaydilar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52882688" w14:textId="578D7597" w:rsidR="00DA0D29" w:rsidRPr="00623E0E" w:rsidRDefault="00DA0D29" w:rsidP="00E91B5F">
            <w:pPr>
              <w:tabs>
                <w:tab w:val="left" w:pos="-284"/>
                <w:tab w:val="left" w:pos="1258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Bunda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taraflarning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hech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ajratilgan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qaytarish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majburiyatdan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tashqari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ko‘rilishi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mumkin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zararlarni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qoplashni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talab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bo‘lmaydi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4C3B0ABE" w14:textId="749827F3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-284"/>
                <w:tab w:val="left" w:pos="1258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Quyidagilar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favqulodda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vaziyatlar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fors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hisoblanadi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suv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toshqini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yong‘in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zilzila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portlash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bo‘ron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yer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ko‘chkisi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epidemiya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boshqa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tabiat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hodisalari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urush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harbiy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harakatlar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fuqarolik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tartibsizliklari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terrorchilik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harakatlari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hukumat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davlat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organlarining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aktlari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101804FA" w14:textId="122CA224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-284"/>
                <w:tab w:val="left" w:pos="1258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lastRenderedPageBreak/>
              <w:t>Taraflar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fors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holatlari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vujudga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kelganligi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tugaganligi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zudlik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bilan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yozma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ravishda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xabardor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lozim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04839828" w14:textId="72588F6F" w:rsidR="00DA0D29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-284"/>
                <w:tab w:val="left" w:pos="1258"/>
              </w:tabs>
              <w:ind w:left="175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Fors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holatiga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asoslanayotgan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taraf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vakolatli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davlat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idorasining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bunday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holatlarni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vujudga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kelganligini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tasdiqlovchi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tegishli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hujjatini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taqdim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etishi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4770E5E3" w14:textId="77777777" w:rsidR="00DA0D29" w:rsidRPr="00623E0E" w:rsidRDefault="00DA0D29" w:rsidP="00E91B5F">
            <w:pPr>
              <w:pStyle w:val="a4"/>
              <w:tabs>
                <w:tab w:val="left" w:pos="-284"/>
                <w:tab w:val="left" w:pos="1258"/>
              </w:tabs>
              <w:ind w:left="884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  <w:p w14:paraId="51300783" w14:textId="645319D5" w:rsidR="00DA0D29" w:rsidRPr="00623E0E" w:rsidRDefault="00DA0D29" w:rsidP="00E91B5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KORRUPSIYaGA</w:t>
            </w:r>
            <w:r w:rsidRPr="00623E0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QARShI</w:t>
            </w:r>
            <w:r w:rsidRPr="00623E0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ShARTLAR</w:t>
            </w:r>
            <w:r w:rsidRPr="00623E0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  <w:p w14:paraId="3A9D0275" w14:textId="7F6B021C" w:rsidR="00DA0D29" w:rsidRPr="00623E0E" w:rsidRDefault="00DA0D29" w:rsidP="00E91B5F">
            <w:pPr>
              <w:ind w:left="212"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9.1. 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majburiyatlarini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bajarayotganda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ularning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faoliyatida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korrupsion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xarakatlarni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to‘liq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ta’qiqlash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qanday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shaklda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yordam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bevosita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bilvosita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shu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jumladan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pul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mablag‘lari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qimmatbaho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buyumlar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mol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mulk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mulkiy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xarakterdagi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xizmatlar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mulkiy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huquqlarni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muayyan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masalalarni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tezroq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hal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ta’minlash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ma’muriy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tartib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qoidalarni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soddalashtirish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raqobat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afzalliklarni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ta’minlashni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to‘liq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rad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etadi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Tomonlar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faoliyatida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amaldagi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qonunchilik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shuningdek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uning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ishlab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chiqilgan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korrupsiyaga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qarshi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kurashishga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qaratilgan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siyosat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tartib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agar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mavjud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bo‘lsa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talablariga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qiladilar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3474227D" w14:textId="052D7827" w:rsidR="00DA0D29" w:rsidRPr="00623E0E" w:rsidRDefault="00DA0D29" w:rsidP="00E91B5F">
            <w:pPr>
              <w:ind w:left="212"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9.2. 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majburiyatlarini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bajarish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chog‘ida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o‘zlari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ijroiya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organi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ularning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masabdor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shaxlari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xodimlari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biron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shaxslarga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jumladan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jismoniy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shaxslar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tijorat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tashkilotlari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davlat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mansabdor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shaxslari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korrupsion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to‘lovlarni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etishni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taklif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qilmasligini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etmasligini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rozilik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bermasligini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shuningdek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qanday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shaxsdan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to‘g‘ridan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to‘g‘ri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bilvosita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qanday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korrupsion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to‘lovlarni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olishga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qabul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rozi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bo‘lmasliklarini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kafolatlaydi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665BE309" w14:textId="74BC4785" w:rsidR="00DA0D29" w:rsidRPr="00623E0E" w:rsidRDefault="00DA0D29" w:rsidP="00E91B5F">
            <w:pPr>
              <w:ind w:left="212"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9.3.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bo‘limning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biron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shartlari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buzilgan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taqdirda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tegishli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bunday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buzilish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sodir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kundan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boshlab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ichida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ravishda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xabardor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majburiyatini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oladi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xabarnomada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bo‘limning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qaysi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qoidalari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buzilganligini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tasdiqlovchi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ishonchli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faktlar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materiallarni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6E21B100" w14:textId="7E854E09" w:rsidR="00DA0D29" w:rsidRPr="00623E0E" w:rsidRDefault="00DA0D29" w:rsidP="00E91B5F">
            <w:pPr>
              <w:ind w:left="212"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xabarnomalar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Biznesni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rivojlanish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banki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ATB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tashkil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etilgan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jismoniy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yuridik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shaxslar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korrupsiyaga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qarshi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kurashish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Komplaens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ishonch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liniyasi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kanallari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 w:rsidRPr="00975E62">
              <w:rPr>
                <w:rFonts w:ascii="Times New Roman" w:hAnsi="Times New Roman"/>
                <w:lang w:val="uz-Cyrl-UZ"/>
              </w:rPr>
              <w:t xml:space="preserve"> 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tel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:78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150-59-95,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veb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sayt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hyperlink r:id="rId5" w:history="1">
              <w:r w:rsidRPr="00975E62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lang w:val="uz-Cyrl-UZ"/>
                </w:rPr>
                <w:t>www.brb.uz</w:t>
              </w:r>
            </w:hyperlink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, Telegram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messenjer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@BRB</w:t>
            </w:r>
            <w:r w:rsidRPr="003F5FA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_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ANTIKOR_BOT (</w:t>
            </w:r>
            <w:r w:rsidRPr="00B45D6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email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: </w:t>
            </w:r>
            <w:r w:rsidRPr="00B45D6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antikor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@</w:t>
            </w:r>
            <w:r w:rsidRPr="00B45D63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brb.uz</w:t>
            </w:r>
            <w:r w:rsidRPr="00975E6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)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orqali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oshiriladi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  <w:p w14:paraId="1D9039F3" w14:textId="703B40CF" w:rsidR="00DA0D29" w:rsidRPr="00623E0E" w:rsidRDefault="00DA0D29" w:rsidP="00E91B5F">
            <w:pPr>
              <w:ind w:left="212"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9.4.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qoidalari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taraflardan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buzilganligi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fakti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tasdiqlanganda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tarafning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qoidabuzarliklarni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ko‘rib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chiqish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xabarnoma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natijalari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yuzasidan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ma’lumot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taqdim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qilmagan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taqdirda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taraflama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qisman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to‘liq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bekor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haqli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  <w:p w14:paraId="410BD6F3" w14:textId="7927A287" w:rsidR="00DA0D29" w:rsidRPr="00623E0E" w:rsidRDefault="00DA0D29" w:rsidP="00E91B5F">
            <w:pPr>
              <w:ind w:left="212" w:firstLine="70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9.5.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korrupsiyaga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qarshi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shartlarga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asoslanib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bekor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bunday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bekor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natijasida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yetkazilgan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haqiqiy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zararni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talab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haqli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Zararlarni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qoplash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taraflar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yozma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ravishda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tasdiqlanagan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dalolatnomada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belgilangan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muddat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miqdorda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oshiriladi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 </w:t>
            </w:r>
          </w:p>
          <w:p w14:paraId="7E42008A" w14:textId="77777777" w:rsidR="00DA0D29" w:rsidRPr="00623E0E" w:rsidRDefault="00DA0D29" w:rsidP="00E91B5F">
            <w:pPr>
              <w:pStyle w:val="a4"/>
              <w:tabs>
                <w:tab w:val="left" w:pos="-284"/>
                <w:tab w:val="left" w:pos="1258"/>
              </w:tabs>
              <w:ind w:left="884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  <w:p w14:paraId="451BAD49" w14:textId="3EF294BD" w:rsidR="00DA0D29" w:rsidRPr="00623E0E" w:rsidRDefault="00DA0D29" w:rsidP="00E91B5F">
            <w:pPr>
              <w:pStyle w:val="a4"/>
              <w:numPr>
                <w:ilvl w:val="0"/>
                <w:numId w:val="4"/>
              </w:numPr>
              <w:tabs>
                <w:tab w:val="left" w:pos="459"/>
                <w:tab w:val="left" w:pos="1701"/>
              </w:tabs>
              <w:ind w:left="176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ARTLAR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</w:p>
          <w:p w14:paraId="51D3ACCC" w14:textId="7F018C9E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317"/>
                <w:tab w:val="left" w:pos="1310"/>
              </w:tabs>
              <w:spacing w:before="60"/>
              <w:ind w:left="7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imzolangan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vaqtdan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boshlab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kuchga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kiradi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majburiyatlarini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to‘liq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bajargunlariga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qadar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amalda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409901CD" w14:textId="587F05F6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317"/>
                <w:tab w:val="left" w:pos="1310"/>
              </w:tabs>
              <w:spacing w:before="60"/>
              <w:ind w:left="7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o‘zgartirish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bekor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qo‘shimcha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kelishuv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tuzish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orqali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amalga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oshiriladi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kiritiladigan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o‘zgartirish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qo‘shimchalar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yozma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ravishda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tuzilib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imzolaganidan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so‘ng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haqiqiy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hisoblanadi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Barcha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o‘zgartirish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qo‘shimchalar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ilovalar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ajralmas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qismi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bo‘lib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hisoblanadi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48E6DA55" w14:textId="5F2F5795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317"/>
                <w:tab w:val="left" w:pos="1309"/>
              </w:tabs>
              <w:spacing w:before="60"/>
              <w:ind w:left="7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bekor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qilinishida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kredit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bo‘yicha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asosiy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qarzni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barcha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hisoblangan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foizlarni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to‘liq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qaytarishi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5B52C5F2" w14:textId="0460A56E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630"/>
                <w:tab w:val="left" w:pos="1056"/>
              </w:tabs>
              <w:ind w:left="7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ko‘zda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tutilmagan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bilan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bog‘liq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barcha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munosabatlar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O‘zbekiston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Respublikasi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amaldagi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qonunchiligi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bilan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tartibga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solinadi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1180B14E" w14:textId="7C76DF39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993"/>
                <w:tab w:val="left" w:pos="1309"/>
              </w:tabs>
              <w:spacing w:after="200"/>
              <w:ind w:left="7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Tomonlarning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manzillari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o‘zgargan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hollarda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10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muddat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ichida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albatta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birlarini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yozma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ravishda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tegishli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hujjatlarni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ilova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holda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xabardor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qilishlari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111EAF64" w14:textId="20AC0A60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993"/>
                <w:tab w:val="left" w:pos="1134"/>
                <w:tab w:val="left" w:pos="1309"/>
              </w:tabs>
              <w:autoSpaceDE w:val="0"/>
              <w:autoSpaceDN w:val="0"/>
              <w:adjustRightInd w:val="0"/>
              <w:spacing w:before="60"/>
              <w:ind w:left="7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bookmarkStart w:id="1" w:name="_Hlk58695191"/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lastRenderedPageBreak/>
              <w:t>Qarz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oluvchi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taalluqli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identifikatsiya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qilish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imkonini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beradigan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axborotlarni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/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ma’lumotlarni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Bank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tomonidan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uchinchi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shaslarga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berilishiga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ulardan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foydalanishiga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roziligini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beradi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613B4FB1" w14:textId="19B48EAE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601"/>
                <w:tab w:val="left" w:pos="993"/>
                <w:tab w:val="left" w:pos="1309"/>
                <w:tab w:val="left" w:pos="1345"/>
              </w:tabs>
              <w:spacing w:after="240"/>
              <w:ind w:left="7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rus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tillarida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tuzilgan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shartnomaning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rus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matni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o‘rtasida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nomuvofiqlik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taqdirda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tilida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tuzilgan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loyixasi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ustunlik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qiladi</w:t>
            </w:r>
            <w:r w:rsidRPr="00623E0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bookmarkEnd w:id="1"/>
          </w:p>
          <w:p w14:paraId="3B6D1444" w14:textId="129D1114" w:rsidR="00DA0D29" w:rsidRPr="00623E0E" w:rsidRDefault="00DA0D29" w:rsidP="00E91B5F">
            <w:pPr>
              <w:pStyle w:val="a4"/>
              <w:numPr>
                <w:ilvl w:val="1"/>
                <w:numId w:val="4"/>
              </w:numPr>
              <w:tabs>
                <w:tab w:val="left" w:pos="601"/>
                <w:tab w:val="left" w:pos="993"/>
                <w:tab w:val="left" w:pos="1309"/>
                <w:tab w:val="left" w:pos="1345"/>
              </w:tabs>
              <w:ind w:left="7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Mazkur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shartnoma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tomonlarning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uchun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bir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xil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yuridik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kuchga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ega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bo‘lgan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ikki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nusxada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tuzildi</w:t>
            </w:r>
            <w:r w:rsidRPr="00623E0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  <w:p w14:paraId="62AF3BCF" w14:textId="77777777" w:rsidR="00DA0D29" w:rsidRPr="00623E0E" w:rsidRDefault="00DA0D29" w:rsidP="00E91B5F">
            <w:pPr>
              <w:tabs>
                <w:tab w:val="left" w:pos="601"/>
                <w:tab w:val="left" w:pos="993"/>
                <w:tab w:val="left" w:pos="1309"/>
                <w:tab w:val="left" w:pos="134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77965C7F" w14:textId="200C9074" w:rsidR="00DA0D29" w:rsidRPr="00623E0E" w:rsidRDefault="00DA0D29" w:rsidP="00E91B5F">
            <w:pPr>
              <w:pStyle w:val="a4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309"/>
                <w:tab w:val="left" w:pos="1345"/>
              </w:tabs>
              <w:ind w:left="1026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TOMONLARNING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YuRIDIK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MANZILLARI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</w:t>
            </w:r>
            <w:r w:rsidRPr="00623E0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IMZOLARI</w:t>
            </w:r>
          </w:p>
          <w:tbl>
            <w:tblPr>
              <w:tblpPr w:leftFromText="180" w:rightFromText="180" w:vertAnchor="text" w:horzAnchor="margin" w:tblpXSpec="center" w:tblpY="269"/>
              <w:tblOverlap w:val="never"/>
              <w:tblW w:w="679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6"/>
              <w:gridCol w:w="3260"/>
            </w:tblGrid>
            <w:tr w:rsidR="00DA0D29" w:rsidRPr="00623E0E" w14:paraId="5FDDE8CC" w14:textId="77777777" w:rsidTr="00E91B5F">
              <w:trPr>
                <w:trHeight w:val="273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E676E58" w14:textId="0D88C964" w:rsidR="00DA0D29" w:rsidRPr="00623E0E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Bank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10109B3" w14:textId="589A3B39" w:rsidR="00DA0D29" w:rsidRPr="00623E0E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Qarz</w:t>
                  </w: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oluvchi</w:t>
                  </w:r>
                </w:p>
              </w:tc>
            </w:tr>
            <w:tr w:rsidR="00DA0D29" w:rsidRPr="00623E0E" w14:paraId="4D607C67" w14:textId="77777777" w:rsidTr="00E91B5F">
              <w:trPr>
                <w:trHeight w:val="262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38D2F8" w14:textId="22F3C08A" w:rsidR="00DA0D29" w:rsidRPr="00623E0E" w:rsidRDefault="00DA0D29" w:rsidP="00E91B5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Manzil</w:t>
                  </w: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024D69" w14:textId="10AC90C5" w:rsidR="00DA0D29" w:rsidRPr="00623E0E" w:rsidRDefault="00DA0D29" w:rsidP="00E91B5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Manzil</w:t>
                  </w: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DA0D29" w:rsidRPr="00623E0E" w14:paraId="408B343C" w14:textId="77777777" w:rsidTr="00E91B5F">
              <w:trPr>
                <w:trHeight w:val="267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914B4C" w14:textId="77777777" w:rsidR="00DA0D29" w:rsidRPr="00623E0E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0247DA" w14:textId="77777777" w:rsidR="00DA0D29" w:rsidRPr="00623E0E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0D29" w:rsidRPr="00623E0E" w14:paraId="0B3F988E" w14:textId="77777777" w:rsidTr="00E91B5F">
              <w:trPr>
                <w:trHeight w:val="270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5FCAEC" w14:textId="77777777" w:rsidR="00DA0D29" w:rsidRPr="00623E0E" w:rsidRDefault="00DA0D29" w:rsidP="00E91B5F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F89380" w14:textId="1B1865E9" w:rsidR="00DA0D29" w:rsidRPr="00623E0E" w:rsidRDefault="00DA0D29" w:rsidP="00E91B5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Pasport</w:t>
                  </w: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ma’lumotlari</w:t>
                  </w: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DA0D29" w:rsidRPr="00623E0E" w14:paraId="7A5619B5" w14:textId="77777777" w:rsidTr="00E91B5F">
              <w:trPr>
                <w:trHeight w:val="274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CC273A" w14:textId="77777777" w:rsidR="00DA0D29" w:rsidRPr="00623E0E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0992EB" w14:textId="77777777" w:rsidR="00DA0D29" w:rsidRPr="00623E0E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0D29" w:rsidRPr="00623E0E" w14:paraId="32AF6F58" w14:textId="77777777" w:rsidTr="00E91B5F">
              <w:trPr>
                <w:trHeight w:val="263"/>
              </w:trPr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253AE0" w14:textId="3BF16C96" w:rsidR="00DA0D29" w:rsidRPr="00623E0E" w:rsidRDefault="00DA0D29" w:rsidP="00E91B5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STIR</w:t>
                  </w: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50829C" w14:textId="358E986A" w:rsidR="00DA0D29" w:rsidRPr="00623E0E" w:rsidRDefault="00DA0D29" w:rsidP="00E91B5F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Telefon</w:t>
                  </w: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DA0D29" w:rsidRPr="00DA0D29" w14:paraId="7412A295" w14:textId="77777777" w:rsidTr="00E91B5F">
              <w:tc>
                <w:tcPr>
                  <w:tcW w:w="3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4F4030" w14:textId="77777777" w:rsidR="00DA0D29" w:rsidRPr="00623E0E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E5E3445" w14:textId="77777777" w:rsidR="00DA0D29" w:rsidRPr="00623E0E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</w:t>
                  </w:r>
                </w:p>
                <w:p w14:paraId="2F083C2B" w14:textId="0862D03D" w:rsidR="00DA0D29" w:rsidRPr="00DA0D29" w:rsidRDefault="00DA0D29" w:rsidP="00E91B5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(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Lavozim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,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F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Sh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623E0E">
                    <w:rPr>
                      <w:rFonts w:ascii="Times New Roman" w:hAnsi="Times New Roman"/>
                      <w:i/>
                      <w:sz w:val="24"/>
                      <w:szCs w:val="24"/>
                      <w:lang w:val="uz-Cyrl-UZ"/>
                    </w:rPr>
                    <w:t xml:space="preserve">, 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imzo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)</w:t>
                  </w:r>
                </w:p>
                <w:p w14:paraId="69F91642" w14:textId="77777777" w:rsidR="00DA0D29" w:rsidRPr="00DA0D29" w:rsidRDefault="00DA0D29" w:rsidP="00E91B5F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13D7DD9C" w14:textId="1D74E7FB" w:rsidR="00DA0D29" w:rsidRPr="00623E0E" w:rsidRDefault="00DA0D29" w:rsidP="00E91B5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</w:t>
                  </w: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O‘</w:t>
                  </w: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14:paraId="5B5D7845" w14:textId="2A1247FA" w:rsidR="00DA0D29" w:rsidRPr="00623E0E" w:rsidRDefault="00DA0D29" w:rsidP="00E91B5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 xml:space="preserve">   </w:t>
                  </w: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«___» __________ 20____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</w:t>
                  </w:r>
                  <w:r w:rsidRPr="00623E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DBDDAA" w14:textId="77777777" w:rsidR="00DA0D29" w:rsidRPr="00DA0D29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2CD37A22" w14:textId="77777777" w:rsidR="00DA0D29" w:rsidRPr="00DA0D29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480126BE" w14:textId="77777777" w:rsidR="00DA0D29" w:rsidRPr="00DA0D29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6F38304C" w14:textId="77777777" w:rsidR="00DA0D29" w:rsidRPr="00DA0D29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A0D2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___________________________</w:t>
                  </w:r>
                </w:p>
                <w:p w14:paraId="59A1B551" w14:textId="6A939955" w:rsidR="00DA0D29" w:rsidRPr="00DA0D29" w:rsidRDefault="00DA0D29" w:rsidP="00E91B5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(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F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Sh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.,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imzo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z-Cyrl-UZ"/>
                    </w:rPr>
                    <w:t>si</w:t>
                  </w:r>
                  <w:r w:rsidRPr="00DA0D2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)</w:t>
                  </w:r>
                </w:p>
                <w:p w14:paraId="2BB5B8DF" w14:textId="77777777" w:rsidR="00DA0D29" w:rsidRPr="00DA0D29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758211AF" w14:textId="77777777" w:rsidR="00DA0D29" w:rsidRPr="00DA0D29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</w:p>
                <w:p w14:paraId="19ED5C24" w14:textId="77777777" w:rsidR="00DA0D29" w:rsidRPr="00DA0D29" w:rsidRDefault="00DA0D29" w:rsidP="00E91B5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41F48467" w14:textId="73D596C8" w:rsidR="00DA0D29" w:rsidRPr="00623E0E" w:rsidRDefault="00DA0D29" w:rsidP="00E91B5F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  <w:r w:rsidRPr="00DA0D2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«___» __________ 20____ </w:t>
                  </w:r>
                  <w:r w:rsidRPr="00DA0D2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y</w:t>
                  </w:r>
                  <w:r w:rsidRPr="00DA0D2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.</w:t>
                  </w:r>
                </w:p>
                <w:p w14:paraId="5C884D84" w14:textId="77777777" w:rsidR="00DA0D29" w:rsidRPr="00623E0E" w:rsidRDefault="00DA0D29" w:rsidP="00E91B5F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</w:tbl>
          <w:p w14:paraId="09F421F9" w14:textId="77777777" w:rsidR="00DA0D29" w:rsidRPr="00623E0E" w:rsidRDefault="00DA0D29" w:rsidP="00E91B5F">
            <w:pPr>
              <w:pStyle w:val="a4"/>
              <w:tabs>
                <w:tab w:val="left" w:pos="601"/>
              </w:tabs>
              <w:ind w:left="175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</w:tbl>
    <w:p w14:paraId="16C0C458" w14:textId="77777777" w:rsidR="009B5400" w:rsidRPr="00DA0D29" w:rsidRDefault="009B5400">
      <w:pPr>
        <w:rPr>
          <w:lang w:val="uz-Cyrl-UZ"/>
        </w:rPr>
      </w:pPr>
    </w:p>
    <w:sectPr w:rsidR="009B5400" w:rsidRPr="00DA0D29" w:rsidSect="00DA0D2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Baltic UZ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F45"/>
    <w:multiLevelType w:val="multilevel"/>
    <w:tmpl w:val="2AC66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uz-Cyrl-UZ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  <w:b/>
        <w:i w:val="0"/>
        <w:lang w:val="ru-RU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24B1587F"/>
    <w:multiLevelType w:val="multilevel"/>
    <w:tmpl w:val="6BA04D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2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  <w:lang w:val="ru-RU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4AAD03EE"/>
    <w:multiLevelType w:val="hybridMultilevel"/>
    <w:tmpl w:val="6C44E10A"/>
    <w:lvl w:ilvl="0" w:tplc="069E263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9945782"/>
    <w:multiLevelType w:val="multilevel"/>
    <w:tmpl w:val="D82497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2" w:hanging="360"/>
      </w:pPr>
      <w:rPr>
        <w:rFonts w:hint="default"/>
        <w:b/>
        <w:lang w:val="uz-Cyrl-UZ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 w15:restartNumberingAfterBreak="0">
    <w:nsid w:val="783425D0"/>
    <w:multiLevelType w:val="multilevel"/>
    <w:tmpl w:val="D16CA8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52" w:hanging="540"/>
      </w:pPr>
      <w:rPr>
        <w:rFonts w:hint="default"/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color w:val="000000"/>
      </w:rPr>
    </w:lvl>
  </w:abstractNum>
  <w:abstractNum w:abstractNumId="5" w15:restartNumberingAfterBreak="0">
    <w:nsid w:val="7A712551"/>
    <w:multiLevelType w:val="multilevel"/>
    <w:tmpl w:val="D82213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30"/>
    <w:rsid w:val="00383430"/>
    <w:rsid w:val="00734067"/>
    <w:rsid w:val="009B5400"/>
    <w:rsid w:val="00D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C8D9"/>
  <w15:chartTrackingRefBased/>
  <w15:docId w15:val="{712E9B83-B1F0-49A6-BD0B-B4D35C88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D29"/>
    <w:pPr>
      <w:spacing w:before="0" w:after="0" w:line="240" w:lineRule="auto"/>
    </w:pPr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D29"/>
    <w:rPr>
      <w:color w:val="0000FF"/>
      <w:u w:val="single"/>
    </w:rPr>
  </w:style>
  <w:style w:type="paragraph" w:styleId="a4">
    <w:name w:val="List Paragraph"/>
    <w:aliases w:val="маркированный,Elenco Normale,Список_Текст,_Строка_Заголовок,посередине,Список_Нумерованный,Абзац,1. спис,Bullets,References,List Paragraph (numbered (a)),NUMBERED PARAGRAPH,List Paragraph 1,List_Paragraph,Multilevel para_II,Абзац с отступом"/>
    <w:basedOn w:val="a"/>
    <w:link w:val="a5"/>
    <w:uiPriority w:val="34"/>
    <w:qFormat/>
    <w:rsid w:val="00DA0D29"/>
    <w:pPr>
      <w:ind w:left="720"/>
      <w:contextualSpacing/>
    </w:pPr>
  </w:style>
  <w:style w:type="table" w:styleId="a6">
    <w:name w:val="Table Grid"/>
    <w:basedOn w:val="a1"/>
    <w:uiPriority w:val="39"/>
    <w:rsid w:val="00DA0D2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DA0D29"/>
    <w:pPr>
      <w:ind w:firstLine="708"/>
      <w:jc w:val="both"/>
    </w:pPr>
    <w:rPr>
      <w:rFonts w:ascii="PANDA Baltic UZ" w:hAnsi="PANDA Baltic UZ"/>
      <w:noProof w:val="0"/>
      <w:sz w:val="24"/>
    </w:rPr>
  </w:style>
  <w:style w:type="character" w:customStyle="1" w:styleId="a5">
    <w:name w:val="Абзац списка Знак"/>
    <w:aliases w:val="маркированный Знак,Elenco Normale Знак,Список_Текст Знак,_Строка_Заголовок Знак,посередине Знак,Список_Нумерованный Знак,Абзац Знак,1. спис Знак,Bullets Знак,References Знак,List Paragraph (numbered (a)) Знак,NUMBERED PARAGRAPH Знак"/>
    <w:link w:val="a4"/>
    <w:uiPriority w:val="34"/>
    <w:qFormat/>
    <w:locked/>
    <w:rsid w:val="00DA0D29"/>
    <w:rPr>
      <w:rFonts w:ascii="Times New Roman CYR" w:eastAsia="Times New Roman" w:hAnsi="Times New Roman CYR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2276</Words>
  <Characters>12978</Characters>
  <Application>Microsoft Office Word</Application>
  <DocSecurity>0</DocSecurity>
  <Lines>108</Lines>
  <Paragraphs>30</Paragraphs>
  <ScaleCrop>false</ScaleCrop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user54-225  Ulug'bek Tilavov</cp:lastModifiedBy>
  <cp:revision>2</cp:revision>
  <dcterms:created xsi:type="dcterms:W3CDTF">2024-07-16T13:39:00Z</dcterms:created>
  <dcterms:modified xsi:type="dcterms:W3CDTF">2024-07-16T13:43:00Z</dcterms:modified>
</cp:coreProperties>
</file>